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42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>
        <w:tblPrEx/>
        <w:trPr>
          <w:tblCellSpacing w:w="0" w:type="dxa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6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Д.(ЭК.)01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Цифровизация чертежно - графических работ, в форме индивидуального проекта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40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13.02.13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Эксплуатация и обслуживание электрического и электромеханического оборудования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lang w:eastAsia="ru-RU"/>
        </w:rPr>
      </w:r>
      <w:r>
        <w:rPr>
          <w:rFonts w:ascii="Times New Roman" w:hAnsi="Times New Roman" w:eastAsia="Times New Roman" w:cs="Times New Roman"/>
          <w:sz w:val="28"/>
          <w:lang w:eastAsia="ru-RU"/>
        </w:rPr>
      </w:r>
      <w:r>
        <w:rPr>
          <w:rFonts w:ascii="Times New Roman" w:hAnsi="Times New Roman" w:eastAsia="Times New Roman" w:cs="Times New Roman"/>
          <w:sz w:val="28"/>
          <w:lang w:eastAsia="ru-RU"/>
        </w:rPr>
      </w:r>
    </w:p>
    <w:p>
      <w:pP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20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25</w:t>
      </w:r>
      <w:r>
        <w:rPr>
          <w:rFonts w:ascii="Times New Roman" w:hAnsi="Times New Roman" w:eastAsia="Times New Roman" w:cs="Times New Roman"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Cs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undefined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2"/>
        </w:numPr>
        <w:ind w:left="2149"/>
        <w:spacing w:after="160" w:line="254" w:lineRule="auto"/>
        <w:tabs>
          <w:tab w:val="left" w:pos="7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Общая характеристика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1.2. Планируемы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 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 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4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 4. Контроль и оценка результатов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 w:firstLine="709"/>
        <w:jc w:val="both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-56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1.ОБЩАЯ ХАРАКТЕРИСТИКА РАБОЧЕЙ ПРОГРАММЫ 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Д.(ЭК.)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01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Цифровизация чертежно-графических работ в форме индивидуального проекта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pStyle w:val="974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1.1. Цель и место </w:t>
      </w:r>
      <w:bookmarkEnd w:id="0"/>
      <w:r>
        <w:rPr>
          <w:rFonts w:ascii="Times New Roman" w:hAnsi="Times New Roman"/>
        </w:rPr>
        <w:t xml:space="preserve">дисциплины в структуре образовательной программы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Цель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Д.(ЭК.)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01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Цифровизация чертежно-графических работ в форме индивидуального проекта»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: получение базовых знаний,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необходимых для разработки конструкторских документов.  К конструкторским документам относятся графические и текстовые документы, которые определяют состав и работу электроустановок и содержат необходимые данные для их разработки, контроля и эксплуатации.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284"/>
        <w:jc w:val="both"/>
        <w:rPr>
          <w:rFonts w:ascii="Times New Roman" w:hAnsi="Times New Roman" w:eastAsia="Arial" w:cs="Times New Roman"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Рабочая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рограмма учебной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дополнительной дисциплины «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Цифровизация чертежно - графических работ, в форме индивидуального проекта»,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тносится к дисциплинам общеобразовательного цикла и является частью образовательной программы подготовки специалистов среднего звена в соответствии с требованиями Федерального государственного образовательного стандарта (ФГОС СПО) </w:t>
      </w:r>
      <w:r>
        <w:rPr>
          <w:rFonts w:ascii="Times New Roman" w:hAnsi="Times New Roman" w:cs="Times New Roman"/>
          <w:color w:val="000000" w:themeColor="text1"/>
          <w:sz w:val="24"/>
          <w:lang w:eastAsia="ru-RU"/>
        </w:rPr>
        <w:t xml:space="preserve">по специальности 13.02.13 Эксплуатация и обслуживание электрического</w:t>
      </w:r>
      <w:r>
        <w:rPr>
          <w:rFonts w:ascii="Times New Roman" w:hAnsi="Times New Roman" w:cs="Times New Roman"/>
          <w:color w:val="000000" w:themeColor="text1"/>
          <w:sz w:val="24"/>
          <w:lang w:eastAsia="ru-RU"/>
        </w:rPr>
        <w:t xml:space="preserve"> и электромеханического оборудования, утвержденного приказом Министерства просвещения России от 27.10.2023 №797, с учетом рабочей программы воспитания по специальности 13.02.13 Эксплуатация и обслуживание электрического и электромеханического оборудования.</w:t>
      </w:r>
      <w:r>
        <w:rPr>
          <w:rFonts w:ascii="Times New Roman" w:hAnsi="Times New Roman" w:eastAsia="Arial" w:cs="Times New Roman"/>
          <w:bCs/>
          <w:sz w:val="24"/>
          <w:szCs w:val="24"/>
        </w:rPr>
      </w:r>
      <w:r>
        <w:rPr>
          <w:rFonts w:ascii="Times New Roman" w:hAnsi="Times New Roman" w:eastAsia="Arial" w:cs="Times New Roman"/>
          <w:bCs/>
          <w:sz w:val="24"/>
          <w:szCs w:val="24"/>
        </w:rPr>
      </w:r>
    </w:p>
    <w:p>
      <w:pPr>
        <w:pStyle w:val="962"/>
        <w:ind w:firstLine="284"/>
        <w:jc w:val="both"/>
        <w:spacing w:before="0" w:beforeAutospacing="0" w:after="0" w:afterAutospacing="0" w:line="288" w:lineRule="auto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Данная программа включает в себя решение чертежно-графических задач средствами двумерной графики. Знания и </w:t>
      </w:r>
      <w:r>
        <w:rPr>
          <w:color w:val="000000"/>
          <w:shd w:val="clear" w:color="auto" w:fill="ffffff"/>
        </w:rPr>
        <w:t xml:space="preserve">умения</w:t>
      </w:r>
      <w:r>
        <w:rPr>
          <w:color w:val="000000"/>
          <w:shd w:val="clear" w:color="auto" w:fill="ffffff"/>
        </w:rPr>
        <w:t xml:space="preserve">, полученные учащимися при изучении данного элективного курса, являются актуальными </w:t>
      </w:r>
      <w:r>
        <w:rPr>
          <w:color w:val="000000"/>
          <w:shd w:val="clear" w:color="auto" w:fill="ffffff"/>
        </w:rPr>
        <w:t xml:space="preserve">и способствуют дальнейшему использованию их в самостоятельной деятельности при выполнении курсовых и дипломных проектов,  а также в </w:t>
      </w:r>
      <w:r>
        <w:rPr>
          <w:color w:val="000000"/>
          <w:shd w:val="clear" w:color="auto" w:fill="ffffff"/>
        </w:rPr>
        <w:t xml:space="preserve">дальнейшей и</w:t>
      </w:r>
      <w:r>
        <w:rPr>
          <w:color w:val="000000"/>
          <w:shd w:val="clear" w:color="auto" w:fill="ffffff"/>
        </w:rPr>
        <w:t xml:space="preserve">х профессиональной деятельности.</w:t>
      </w:r>
      <w:r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ind w:firstLine="284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программы учебной дополнительной дисциплины обучающимися осваиваются умения и знания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2"/>
        <w:ind w:firstLine="0"/>
        <w:spacing w:before="0" w:beforeAutospacing="0" w:after="0" w:afterAutospacing="0" w:line="294" w:lineRule="atLeast"/>
      </w:pPr>
      <w:r/>
      <w:r/>
    </w:p>
    <w:tbl>
      <w:tblPr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077"/>
        <w:gridCol w:w="5387"/>
      </w:tblGrid>
      <w:tr>
        <w:tblPrEx/>
        <w:trPr>
          <w:trHeight w:val="649"/>
        </w:trPr>
        <w:tc>
          <w:tcPr>
            <w:tcW w:w="4077" w:type="dxa"/>
            <w:textDirection w:val="lrTb"/>
            <w:noWrap w:val="false"/>
          </w:tcPr>
          <w:p>
            <w:pPr>
              <w:ind w:firstLine="284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ind w:firstLine="284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2"/>
        </w:trPr>
        <w:tc>
          <w:tcPr>
            <w:tcW w:w="4077" w:type="dxa"/>
            <w:textDirection w:val="lrTb"/>
            <w:noWrap w:val="false"/>
          </w:tcPr>
          <w:p>
            <w:pPr>
              <w:ind w:firstLine="284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электрические схемы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системах автоматизированного проектирования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284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условно графические обозначения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системах автоматизированного проектирования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284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читать электрические схемы;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оформлять технологическую и конструкторскую документацию в соответствии с действующей нормативно-технической документацией.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ind w:firstLine="284"/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методы и приемы черчения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системах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автоматизированного проектирования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правила выполнения и чтения конструкторской и технологической документации;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оформления схем, геометрические построения и правила выполнения условно графических обозначений;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284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contextualSpacing/>
        <w:ind w:firstLine="284"/>
        <w:jc w:val="center"/>
        <w:spacing w:after="0" w:line="240" w:lineRule="auto"/>
        <w:rPr>
          <w:rFonts w:ascii="Times New Roman" w:hAnsi="Times New Roman" w:eastAsia="Calibri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Calibri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Calibri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Calibri" w:cs="Times New Roman"/>
          <w:b w:val="0"/>
          <w:bCs w:val="0"/>
          <w:sz w:val="24"/>
          <w:szCs w:val="24"/>
        </w:rPr>
      </w:r>
    </w:p>
    <w:p>
      <w:pPr>
        <w:ind w:firstLine="284"/>
        <w:jc w:val="both"/>
        <w:tabs>
          <w:tab w:val="left" w:pos="655" w:leader="none"/>
          <w:tab w:val="left" w:pos="862" w:leader="none"/>
          <w:tab w:val="left" w:pos="1080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pacing w:val="-6"/>
          <w:sz w:val="24"/>
          <w:szCs w:val="24"/>
        </w:rPr>
        <w:t xml:space="preserve">Освоение содержания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УДД.(ЭК.)01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Цифровизация чертежно - графических работ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»</w:t>
      </w:r>
      <w:r>
        <w:rPr>
          <w:rFonts w:ascii="Times New Roman" w:hAnsi="Times New Roman" w:cs="Times New Roman"/>
          <w:b w:val="0"/>
          <w:bCs w:val="0"/>
          <w:spacing w:val="-6"/>
          <w:sz w:val="24"/>
          <w:szCs w:val="24"/>
        </w:rPr>
        <w:t xml:space="preserve">, в форме  индивидуального проекта» обеспечивает достижение студентами следующих </w:t>
      </w:r>
      <w:r>
        <w:rPr>
          <w:rFonts w:ascii="Times New Roman" w:hAnsi="Times New Roman" w:cs="Times New Roman"/>
          <w:b w:val="0"/>
          <w:bCs w:val="0"/>
          <w:spacing w:val="-6"/>
          <w:sz w:val="24"/>
          <w:szCs w:val="24"/>
        </w:rPr>
        <w:t xml:space="preserve">результатов</w:t>
      </w:r>
      <w:r>
        <w:rPr>
          <w:rFonts w:ascii="Times New Roman" w:hAnsi="Times New Roman" w:cs="Times New Roman"/>
          <w:b w:val="0"/>
          <w:bCs w:val="0"/>
          <w:spacing w:val="-6"/>
          <w:sz w:val="24"/>
          <w:szCs w:val="24"/>
        </w:rPr>
        <w:t xml:space="preserve">: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962"/>
        <w:ind w:right="65" w:firstLine="284"/>
        <w:jc w:val="both"/>
        <w:spacing w:before="0" w:beforeAutospacing="0" w:after="5" w:afterAutospacing="0" w:line="286" w:lineRule="atLeast"/>
        <w:shd w:val="clear" w:color="auto" w:fill="ffffff"/>
      </w:pPr>
      <w:r>
        <w:t xml:space="preserve">сформулированные цели реализуются через достижение образователь</w:t>
      </w:r>
      <w:r>
        <w:t xml:space="preserve">ных результатов. Эти результаты структурированы по ключевым задачам общего образования, отражающим индивидуальные, общественные и государственные потребности, и включают в себя предметные, метапредметные и личностные результаты. Особенность изучения курса </w:t>
      </w:r>
      <w:r>
        <w:rPr>
          <w:b w:val="0"/>
          <w:bCs w:val="0"/>
        </w:rPr>
        <w:t xml:space="preserve">«</w:t>
      </w:r>
      <w:r>
        <w:rPr>
          <w:b w:val="0"/>
          <w:bCs w:val="0"/>
        </w:rPr>
        <w:t xml:space="preserve">Цифровизация чертежно - графических работ, в форме индивидуального проекта</w:t>
      </w:r>
      <w:r>
        <w:rPr>
          <w:b w:val="0"/>
          <w:bCs w:val="0"/>
        </w:rPr>
        <w:t xml:space="preserve">»</w:t>
      </w:r>
      <w:r>
        <w:rPr>
          <w:b w:val="0"/>
          <w:bCs w:val="0"/>
          <w:spacing w:val="-6"/>
        </w:rPr>
        <w:t xml:space="preserve">, </w:t>
      </w:r>
      <w:r>
        <w:rPr>
          <w:b w:val="0"/>
          <w:bCs w:val="0"/>
        </w:rPr>
        <w:t xml:space="preserve">заключается в том, что многие предметные знания и способы деятельности (включ</w:t>
      </w:r>
      <w:r>
        <w:t xml:space="preserve">ая использование средств ИКТ) имеют значимость для других предметных областей и формируются при их изучении. </w:t>
      </w:r>
      <w:r/>
    </w:p>
    <w:p>
      <w:pPr>
        <w:pStyle w:val="962"/>
        <w:ind w:right="65" w:firstLine="284"/>
        <w:jc w:val="both"/>
        <w:spacing w:before="0" w:beforeAutospacing="0" w:after="5" w:afterAutospacing="0" w:line="286" w:lineRule="atLeast"/>
        <w:shd w:val="clear" w:color="auto" w:fill="ffffff"/>
      </w:pPr>
      <w:r/>
      <w:r/>
    </w:p>
    <w:p>
      <w:pPr>
        <w:pStyle w:val="962"/>
        <w:ind w:firstLine="284"/>
        <w:jc w:val="both"/>
        <w:spacing w:before="0" w:beforeAutospacing="0" w:after="0" w:afterAutospacing="0" w:line="217" w:lineRule="atLeast"/>
        <w:shd w:val="clear" w:color="auto" w:fill="ffffff"/>
        <w:rPr>
          <w:b/>
        </w:rPr>
      </w:pPr>
      <w:r>
        <w:rPr>
          <w:b/>
        </w:rPr>
        <w:t xml:space="preserve">Личностные результаты:</w:t>
      </w:r>
      <w:r>
        <w:rPr>
          <w:b/>
        </w:rPr>
      </w:r>
      <w:r>
        <w:rPr>
          <w:b/>
        </w:rPr>
      </w:r>
    </w:p>
    <w:p>
      <w:pPr>
        <w:pStyle w:val="962"/>
        <w:ind w:right="65" w:firstLine="284"/>
        <w:jc w:val="both"/>
        <w:spacing w:before="0" w:beforeAutospacing="0" w:after="0" w:afterAutospacing="0" w:line="284" w:lineRule="atLeast"/>
        <w:shd w:val="clear" w:color="auto" w:fill="ffffff"/>
      </w:pPr>
      <w:r>
        <w:t xml:space="preserve">•              </w:t>
      </w:r>
      <w:r>
        <w:t xml:space="preserve">формирование ответственного отношения к обучению, готовности и способности, обучающихся к саморазвитию и самообразованию на основе мотивации к обучению и познанию;</w:t>
      </w:r>
      <w:r/>
    </w:p>
    <w:p>
      <w:pPr>
        <w:pStyle w:val="962"/>
        <w:ind w:right="65" w:firstLine="284"/>
        <w:jc w:val="both"/>
        <w:spacing w:before="0" w:beforeAutospacing="0" w:after="0" w:afterAutospacing="0" w:line="284" w:lineRule="atLeast"/>
        <w:shd w:val="clear" w:color="auto" w:fill="ffffff"/>
      </w:pPr>
      <w:r>
        <w:t xml:space="preserve">•              </w:t>
      </w:r>
      <w:r>
        <w:t xml:space="preserve">формирование целостного мировоззрения, соответствующего современному уровню развития науки и общественной практики;</w:t>
      </w:r>
      <w:r/>
    </w:p>
    <w:p>
      <w:pPr>
        <w:pStyle w:val="962"/>
        <w:ind w:right="65" w:firstLine="284"/>
        <w:jc w:val="both"/>
        <w:spacing w:before="0" w:beforeAutospacing="0" w:after="0" w:afterAutospacing="0" w:line="360" w:lineRule="atLeast"/>
        <w:shd w:val="clear" w:color="auto" w:fill="ffffff"/>
      </w:pPr>
      <w:r>
        <w:t xml:space="preserve">•              </w:t>
      </w:r>
      <w:r>
        <w:t xml:space="preserve">развитие осознанного и ответственного отношения к собственным поступкам;</w:t>
      </w:r>
      <w:r/>
    </w:p>
    <w:p>
      <w:pPr>
        <w:pStyle w:val="962"/>
        <w:ind w:right="65" w:firstLine="284"/>
        <w:jc w:val="both"/>
        <w:spacing w:before="0" w:beforeAutospacing="0" w:after="0" w:afterAutospacing="0" w:line="286" w:lineRule="atLeast"/>
        <w:shd w:val="clear" w:color="auto" w:fill="ffffff"/>
      </w:pPr>
      <w:r>
        <w:t xml:space="preserve">•              </w:t>
      </w:r>
      <w:r>
        <w:t xml:space="preserve">формирование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  <w:r/>
    </w:p>
    <w:p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Личностные результаты освоения  программы для лиц с ОВЗ: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 для глухих, слабослышащих, позднооглохших обучающихся: способ</w:t>
      </w:r>
      <w:r>
        <w:rPr>
          <w:rFonts w:ascii="Times New Roman" w:hAnsi="Times New Roman" w:eastAsia="Calibri" w:cs="Times New Roman"/>
          <w:sz w:val="24"/>
          <w:szCs w:val="24"/>
        </w:rPr>
        <w:t xml:space="preserve">ность к социальной адаптации и интеграции в обществе, в том числе  при реализации  возможностей коммуникации  на основе словесной речи(включая устную коммуникацию) а также при желании коммуникации на основе жестовой речи с лицами, имеющими нарушение слуха;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 для обучающихся  с нарушениями опорно-двигательного аппарата: владение навыками пространственной и социально-бытовой ориентировки, умение самостоятельно и безопасно передвигаться в знакомом и незнакомом пространстве с использованием специального </w:t>
      </w:r>
      <w:r>
        <w:rPr>
          <w:rFonts w:ascii="Times New Roman" w:hAnsi="Times New Roman" w:eastAsia="Calibri" w:cs="Times New Roman"/>
          <w:sz w:val="24"/>
          <w:szCs w:val="24"/>
        </w:rPr>
        <w:t xml:space="preserve">оборудования ;способность к осмыслению социального окружения, своего места в нем принятие соответствующих возрасту ценностей и социальных ролей;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284"/>
        <w:jc w:val="both"/>
        <w:rPr>
          <w:rFonts w:ascii="Times New Roman" w:hAnsi="Times New Roman" w:eastAsia="Calibri" w:cs="Times New Roman"/>
          <w:spacing w:val="-6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3. для обучающихся с расстройствами  аутистического </w:t>
      </w:r>
      <w:r>
        <w:rPr>
          <w:rFonts w:ascii="Times New Roman" w:hAnsi="Times New Roman" w:eastAsia="Calibri" w:cs="Times New Roman"/>
          <w:sz w:val="24"/>
          <w:szCs w:val="24"/>
        </w:rPr>
        <w:t xml:space="preserve">спектра: 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 знание своих предпочтений (ограничений) в бытовой сфере и сфере интересов.</w:t>
      </w:r>
      <w:r>
        <w:rPr>
          <w:rFonts w:ascii="Times New Roman" w:hAnsi="Times New Roman" w:eastAsia="Calibri" w:cs="Times New Roman"/>
          <w:spacing w:val="-6"/>
          <w:sz w:val="24"/>
          <w:szCs w:val="24"/>
        </w:rPr>
      </w:r>
      <w:r>
        <w:rPr>
          <w:rFonts w:ascii="Times New Roman" w:hAnsi="Times New Roman" w:eastAsia="Calibri" w:cs="Times New Roman"/>
          <w:spacing w:val="-6"/>
          <w:sz w:val="24"/>
          <w:szCs w:val="24"/>
        </w:rPr>
      </w:r>
    </w:p>
    <w:p>
      <w:pPr>
        <w:pStyle w:val="962"/>
        <w:ind w:firstLine="284"/>
        <w:jc w:val="both"/>
        <w:spacing w:before="0" w:beforeAutospacing="0" w:after="0" w:afterAutospacing="0" w:line="217" w:lineRule="atLeast"/>
        <w:shd w:val="clear" w:color="auto" w:fill="ffffff"/>
        <w:rPr>
          <w:b/>
        </w:rPr>
      </w:pPr>
      <w:r>
        <w:rPr>
          <w:b/>
        </w:rPr>
        <w:t xml:space="preserve">Метапредметные результаты:</w:t>
      </w:r>
      <w:r>
        <w:rPr>
          <w:b/>
        </w:rPr>
      </w:r>
      <w:r>
        <w:rPr>
          <w:b/>
        </w:rPr>
      </w:r>
    </w:p>
    <w:p>
      <w:pPr>
        <w:pStyle w:val="962"/>
        <w:ind w:right="65" w:firstLine="284"/>
        <w:jc w:val="both"/>
        <w:spacing w:before="0" w:beforeAutospacing="0" w:after="0" w:afterAutospacing="0" w:line="286" w:lineRule="atLeast"/>
        <w:shd w:val="clear" w:color="auto" w:fill="ffffff"/>
      </w:pPr>
      <w:r>
        <w:t xml:space="preserve">1</w:t>
      </w:r>
      <w:r>
        <w:t xml:space="preserve">              </w:t>
      </w:r>
      <w:r>
        <w:t xml:space="preserve">умение самостоятельно определять цели обучения, ставить и формулировать для себя новые задачи в, развивать мотивы и интересы своей познавательной деятельности;</w:t>
      </w:r>
      <w:r/>
    </w:p>
    <w:p>
      <w:pPr>
        <w:pStyle w:val="962"/>
        <w:ind w:right="65" w:firstLine="284"/>
        <w:jc w:val="both"/>
        <w:spacing w:before="0" w:beforeAutospacing="0" w:after="0" w:afterAutospacing="0" w:line="284" w:lineRule="atLeast"/>
        <w:shd w:val="clear" w:color="auto" w:fill="ffffff"/>
      </w:pPr>
      <w:r>
        <w:t xml:space="preserve">2</w:t>
      </w:r>
      <w:r>
        <w:t xml:space="preserve">              </w:t>
      </w:r>
      <w: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  <w:r/>
    </w:p>
    <w:p>
      <w:pPr>
        <w:pStyle w:val="962"/>
        <w:ind w:right="65" w:firstLine="284"/>
        <w:jc w:val="both"/>
        <w:spacing w:before="0" w:beforeAutospacing="0" w:after="0" w:afterAutospacing="0" w:line="286" w:lineRule="atLeast"/>
        <w:shd w:val="clear" w:color="auto" w:fill="ffffff"/>
      </w:pPr>
      <w:r>
        <w:t xml:space="preserve">3</w:t>
      </w:r>
      <w:r>
        <w:t xml:space="preserve">              </w:t>
      </w:r>
      <w:r>
        <w:t xml:space="preserve">умение определять понятия, создавать обобщен</w:t>
      </w:r>
      <w:r>
        <w:t xml:space="preserve">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  <w:r/>
    </w:p>
    <w:p>
      <w:pPr>
        <w:pStyle w:val="962"/>
        <w:ind w:right="65" w:firstLine="284"/>
        <w:jc w:val="both"/>
        <w:spacing w:before="0" w:beforeAutospacing="0" w:after="0" w:afterAutospacing="0" w:line="284" w:lineRule="atLeast"/>
        <w:shd w:val="clear" w:color="auto" w:fill="ffffff"/>
      </w:pPr>
      <w:r>
        <w:t xml:space="preserve">4</w:t>
      </w:r>
      <w:r>
        <w:t xml:space="preserve">              </w:t>
      </w:r>
      <w:r>
        <w:t xml:space="preserve">умение осознанно использовать речевые средства в соответствии с задачей коммуникации; владение устной и письменной речью;</w:t>
      </w:r>
      <w:r/>
    </w:p>
    <w:p>
      <w:pPr>
        <w:pStyle w:val="962"/>
        <w:ind w:right="65" w:firstLine="284"/>
        <w:jc w:val="both"/>
        <w:spacing w:before="0" w:beforeAutospacing="0" w:after="0" w:afterAutospacing="0" w:line="284" w:lineRule="atLeast"/>
        <w:shd w:val="clear" w:color="auto" w:fill="ffffff"/>
        <w:rPr>
          <w:highlight w:val="none"/>
        </w:rPr>
      </w:pPr>
      <w:r>
        <w:t xml:space="preserve">5</w:t>
      </w:r>
      <w:r>
        <w:t xml:space="preserve">              </w:t>
      </w:r>
      <w:r>
        <w:t xml:space="preserve">формирование и развитие компетентности в области использования информационнокоммуникационных технологий (далее ИКТ-компетенции).</w:t>
      </w:r>
      <w:r>
        <w:rPr>
          <w:highlight w:val="none"/>
        </w:rPr>
      </w:r>
    </w:p>
    <w:p>
      <w:pPr>
        <w:pStyle w:val="962"/>
        <w:ind w:right="65" w:firstLine="284"/>
        <w:jc w:val="both"/>
        <w:spacing w:before="0" w:beforeAutospacing="0" w:after="0" w:afterAutospacing="0" w:line="284" w:lineRule="atLeast"/>
        <w:shd w:val="clear" w:color="auto" w:fill="ffffff"/>
      </w:pPr>
      <w:r>
        <w:rPr>
          <w:highlight w:val="none"/>
        </w:rPr>
      </w:r>
      <w:r>
        <w:rPr>
          <w:highlight w:val="none"/>
        </w:rPr>
      </w:r>
      <w:r/>
    </w:p>
    <w:p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Мета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предметные результаты освоения  дисциплины для лиц с ОВЗ: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1. для глухих, слабослышащих, позднооглохших обучающихся: владение навыками определения и исправления специфических ошибок (аграмматизмов) в письменной и устной речи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284"/>
        <w:jc w:val="both"/>
        <w:spacing w:after="150"/>
        <w:widowControl w:val="off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2. для обучающихся с расстройствами  аутистическо</w:t>
      </w:r>
      <w:r>
        <w:rPr>
          <w:rFonts w:ascii="Times New Roman" w:hAnsi="Times New Roman" w:eastAsia="Calibri" w:cs="Times New Roman"/>
          <w:bCs/>
          <w:sz w:val="24"/>
          <w:szCs w:val="24"/>
        </w:rPr>
        <w:t xml:space="preserve">го спектра: а)способность планировать контролировать и оценивать собственные учебные действия в соответствии с поставленной с поставленной задачей и условиями ее реализации при сопровождающей помощи педагогического работника и организующей помощи тьютора;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тьютора; овладение умением выполнять действия по задан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ному алгоритму или образцу при сопровождающей помощи педагогического работника и организующей помощи тьютора; овладение умением оценивать результат своей деятельности в соответствии с заданными эталонами при организующей помощи тьютора; овладение умением 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декватно реагировать в стандартной ситуации на успех и неудачу, конструктивно действовать даже в ситуациях неуспеха при организующей помощи тьютора; овладение умением активного использования знаково-символических средств для представления информации об изу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чаемых объектах и процессах, различных схем решения учебных и практических задач при организующей помощи педагога-психолога и тьютора; способность самостоятельно обратиться к педагогическому работнику (педагогу-психологу, социальному педагогу) в случае лич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ных затруднений в решении какого-либо вопроса;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 </w:t>
      </w:r>
      <w:r>
        <w:rPr>
          <w:rFonts w:ascii="Times New Roman" w:hAnsi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  <w:lang w:eastAsia="ru-RU"/>
        </w:rPr>
      </w:r>
    </w:p>
    <w:p>
      <w:pPr>
        <w:pStyle w:val="962"/>
        <w:ind w:firstLine="0"/>
        <w:spacing w:before="0" w:beforeAutospacing="0" w:after="0" w:afterAutospacing="0" w:line="217" w:lineRule="atLeast"/>
        <w:shd w:val="clear" w:color="auto" w:fill="ffff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2"/>
        <w:ind w:firstLine="284"/>
        <w:spacing w:before="0" w:beforeAutospacing="0" w:after="0" w:afterAutospacing="0" w:line="217" w:lineRule="atLeast"/>
        <w:shd w:val="clear" w:color="auto" w:fill="ffffff"/>
        <w:rPr>
          <w:b/>
        </w:rPr>
      </w:pPr>
      <w:r>
        <w:rPr>
          <w:b/>
        </w:rPr>
        <w:t xml:space="preserve">Предметные результаты:</w:t>
      </w:r>
      <w:r>
        <w:rPr>
          <w:b/>
        </w:rPr>
        <w:t xml:space="preserve"> </w:t>
      </w:r>
      <w:r>
        <w:rPr>
          <w:b/>
        </w:rPr>
      </w:r>
      <w:r>
        <w:rPr>
          <w:b/>
        </w:rPr>
      </w:r>
    </w:p>
    <w:p>
      <w:pPr>
        <w:pStyle w:val="962"/>
        <w:ind w:right="65" w:firstLine="284"/>
        <w:spacing w:before="0" w:beforeAutospacing="0" w:after="0" w:afterAutospacing="0" w:line="360" w:lineRule="atLeast"/>
        <w:shd w:val="clear" w:color="auto" w:fill="ffffff"/>
      </w:pPr>
      <w:r>
        <w:t xml:space="preserve">- </w:t>
      </w:r>
      <w:r>
        <w:t xml:space="preserve">умение определять виды линий, которые необходимы для построения объекта;</w:t>
      </w:r>
      <w:r/>
    </w:p>
    <w:p>
      <w:pPr>
        <w:pStyle w:val="962"/>
        <w:ind w:right="65" w:firstLine="284"/>
        <w:spacing w:before="0" w:beforeAutospacing="0" w:after="0" w:afterAutospacing="0" w:line="360" w:lineRule="atLeast"/>
        <w:shd w:val="clear" w:color="auto" w:fill="ffffff"/>
      </w:pPr>
      <w:r>
        <w:t xml:space="preserve">- </w:t>
      </w:r>
      <w:r>
        <w:t xml:space="preserve">развитие основных навыков и умений использования компьютерных устройств;</w:t>
      </w:r>
      <w:r/>
    </w:p>
    <w:p>
      <w:pPr>
        <w:pStyle w:val="962"/>
        <w:ind w:right="65" w:firstLine="284"/>
        <w:spacing w:before="0" w:beforeAutospacing="0" w:after="0" w:afterAutospacing="0" w:line="286" w:lineRule="atLeast"/>
        <w:shd w:val="clear" w:color="auto" w:fill="ffffff"/>
      </w:pPr>
      <w:r>
        <w:t xml:space="preserve">- п</w:t>
      </w:r>
      <w:r>
        <w:t xml:space="preserve">риобретение опыта создания творческих работ с элементами конструирования, базирующихся на ИКТ;</w:t>
      </w:r>
      <w:r/>
    </w:p>
    <w:p>
      <w:pPr>
        <w:pStyle w:val="962"/>
        <w:ind w:right="65" w:firstLine="284"/>
        <w:spacing w:before="0" w:beforeAutospacing="0" w:after="0" w:afterAutospacing="0" w:line="360" w:lineRule="atLeast"/>
        <w:shd w:val="clear" w:color="auto" w:fill="ffffff"/>
      </w:pPr>
      <w:r>
        <w:t xml:space="preserve">- </w:t>
      </w:r>
      <w:r>
        <w:t xml:space="preserve">развитие зрительной памяти, ассоциативного мышления;</w:t>
      </w:r>
      <w:r/>
    </w:p>
    <w:p>
      <w:pPr>
        <w:pStyle w:val="962"/>
        <w:ind w:right="65" w:firstLine="284"/>
        <w:spacing w:before="0" w:beforeAutospacing="0" w:after="0" w:afterAutospacing="0" w:line="284" w:lineRule="atLeast"/>
        <w:shd w:val="clear" w:color="auto" w:fill="ffffff"/>
      </w:pPr>
      <w:r>
        <w:t xml:space="preserve">-  </w:t>
      </w:r>
      <w:r>
        <w:t xml:space="preserve">формирование навыков и умений безопасного и целесообразного поведения при работе с компьютерными программами</w:t>
      </w:r>
      <w:r/>
    </w:p>
    <w:p>
      <w:pPr>
        <w:ind w:firstLine="284"/>
        <w:jc w:val="both"/>
        <w:spacing w:after="0"/>
        <w:tabs>
          <w:tab w:val="left" w:pos="655" w:leader="none"/>
          <w:tab w:val="left" w:pos="862" w:leader="none"/>
          <w:tab w:val="left" w:pos="1080" w:leader="none"/>
        </w:tabs>
        <w:rPr>
          <w:rFonts w:ascii="Times New Roman" w:hAnsi="Times New Roman" w:cs="Times New Roman"/>
          <w:b/>
          <w:iCs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iCs/>
          <w:spacing w:val="-6"/>
          <w:sz w:val="24"/>
          <w:szCs w:val="24"/>
        </w:rPr>
      </w:r>
      <w:r>
        <w:rPr>
          <w:rFonts w:ascii="Times New Roman" w:hAnsi="Times New Roman" w:cs="Times New Roman"/>
          <w:b/>
          <w:iCs/>
          <w:spacing w:val="-6"/>
          <w:sz w:val="24"/>
          <w:szCs w:val="24"/>
        </w:rPr>
      </w:r>
      <w:r>
        <w:rPr>
          <w:rFonts w:ascii="Times New Roman" w:hAnsi="Times New Roman" w:cs="Times New Roman"/>
          <w:b/>
          <w:iCs/>
          <w:spacing w:val="-6"/>
          <w:sz w:val="24"/>
          <w:szCs w:val="24"/>
        </w:rPr>
      </w:r>
    </w:p>
    <w:p>
      <w:pPr>
        <w:ind w:firstLine="284"/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Программа предусматривает использование следующих форм  работы: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284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фронтальной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– подача учебного материала всему коллективу обучающихся;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284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индивидуальной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– самостоятельная работа обучающихся с оказанием помощи учащимся при возникновении затруднения, не уменьшая активности обучающихся и содействуя выработки навыков самостоятельной работы;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групповой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- учащимся предоставляетс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я возможность самостоятельно построить свою деятельность на основе принципа взаимозаменяемости, ощутить помощь со стороны друг друга, учесть возможности каждого на конкретном этапе деятельности способствуя более быстрому и качественному выполнению задания.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284"/>
        <w:jc w:val="both"/>
        <w:spacing w:after="0"/>
        <w:tabs>
          <w:tab w:val="left" w:pos="655" w:leader="none"/>
          <w:tab w:val="left" w:pos="862" w:leader="none"/>
          <w:tab w:val="left" w:pos="1080" w:leader="none"/>
        </w:tabs>
        <w:rPr>
          <w:rFonts w:ascii="Times New Roman" w:hAnsi="Times New Roman" w:cs="Times New Roman"/>
          <w:b/>
          <w:iCs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iCs/>
          <w:spacing w:val="-6"/>
          <w:sz w:val="24"/>
          <w:szCs w:val="24"/>
        </w:rPr>
      </w:r>
      <w:r>
        <w:rPr>
          <w:rFonts w:ascii="Times New Roman" w:hAnsi="Times New Roman" w:cs="Times New Roman"/>
          <w:b/>
          <w:iCs/>
          <w:spacing w:val="-6"/>
          <w:sz w:val="24"/>
          <w:szCs w:val="24"/>
        </w:rPr>
      </w:r>
      <w:r>
        <w:rPr>
          <w:rFonts w:ascii="Times New Roman" w:hAnsi="Times New Roman" w:cs="Times New Roman"/>
          <w:b/>
          <w:iCs/>
          <w:spacing w:val="-6"/>
          <w:sz w:val="24"/>
          <w:szCs w:val="24"/>
        </w:rPr>
      </w:r>
    </w:p>
    <w:p>
      <w:pPr>
        <w:jc w:val="both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Особое значение дисциплина имеет при формировании и развитии ОК 01, ОК 02, ОК 04.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284"/>
        <w:jc w:val="both"/>
        <w:spacing w:after="0"/>
        <w:tabs>
          <w:tab w:val="left" w:pos="655" w:leader="none"/>
          <w:tab w:val="left" w:pos="862" w:leader="none"/>
          <w:tab w:val="left" w:pos="1080" w:leader="none"/>
        </w:tabs>
        <w:rPr>
          <w:rFonts w:ascii="Times New Roman" w:hAnsi="Times New Roman" w:cs="Times New Roman"/>
          <w:b/>
          <w:iCs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iCs/>
          <w:spacing w:val="-6"/>
          <w:sz w:val="24"/>
          <w:szCs w:val="24"/>
        </w:rPr>
      </w:r>
      <w:r>
        <w:rPr>
          <w:rFonts w:ascii="Times New Roman" w:hAnsi="Times New Roman" w:cs="Times New Roman"/>
          <w:b/>
          <w:iCs/>
          <w:spacing w:val="-6"/>
          <w:sz w:val="24"/>
          <w:szCs w:val="24"/>
        </w:rPr>
      </w:r>
      <w:r>
        <w:rPr>
          <w:rFonts w:ascii="Times New Roman" w:hAnsi="Times New Roman" w:cs="Times New Roman"/>
          <w:b/>
          <w:iCs/>
          <w:spacing w:val="-6"/>
          <w:sz w:val="24"/>
          <w:szCs w:val="24"/>
        </w:rPr>
      </w:r>
    </w:p>
    <w:tbl>
      <w:tblPr>
        <w:tblStyle w:val="973"/>
        <w:tblW w:w="0" w:type="auto"/>
        <w:tblInd w:w="-250" w:type="dxa"/>
        <w:tblLayout w:type="fixed"/>
        <w:tblLook w:val="04A0" w:firstRow="1" w:lastRow="0" w:firstColumn="1" w:lastColumn="0" w:noHBand="0" w:noVBand="1"/>
      </w:tblPr>
      <w:tblGrid>
        <w:gridCol w:w="1661"/>
        <w:gridCol w:w="8794"/>
      </w:tblGrid>
      <w:tr>
        <w:tblPrEx/>
        <w:trPr/>
        <w:tc>
          <w:tcPr>
            <w:tcW w:w="1661" w:type="dxa"/>
            <w:textDirection w:val="lrTb"/>
            <w:noWrap w:val="false"/>
          </w:tcPr>
          <w:p>
            <w:pPr>
              <w:ind w:firstLine="284"/>
              <w:jc w:val="both"/>
              <w:tabs>
                <w:tab w:val="left" w:pos="655" w:leader="none"/>
                <w:tab w:val="left" w:pos="862" w:leader="none"/>
                <w:tab w:val="left" w:pos="1080" w:leader="none"/>
              </w:tabs>
              <w:rPr>
                <w:b/>
                <w:iCs/>
                <w:spacing w:val="-6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Код компетенции</w:t>
            </w:r>
            <w:r>
              <w:rPr>
                <w:b/>
                <w:iCs/>
                <w:spacing w:val="-6"/>
                <w:sz w:val="24"/>
                <w:szCs w:val="24"/>
              </w:rPr>
            </w:r>
            <w:r>
              <w:rPr>
                <w:b/>
                <w:iCs/>
                <w:spacing w:val="-6"/>
                <w:sz w:val="24"/>
                <w:szCs w:val="24"/>
              </w:rPr>
            </w:r>
          </w:p>
        </w:tc>
        <w:tc>
          <w:tcPr>
            <w:tcW w:w="8794" w:type="dxa"/>
            <w:textDirection w:val="lrTb"/>
            <w:noWrap w:val="false"/>
          </w:tcPr>
          <w:p>
            <w:pPr>
              <w:ind w:firstLine="284"/>
              <w:jc w:val="both"/>
              <w:tabs>
                <w:tab w:val="left" w:pos="655" w:leader="none"/>
                <w:tab w:val="left" w:pos="862" w:leader="none"/>
                <w:tab w:val="left" w:pos="1080" w:leader="none"/>
              </w:tabs>
              <w:rPr>
                <w:b/>
                <w:iCs/>
                <w:spacing w:val="-6"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 xml:space="preserve">Формулировка компетенции</w:t>
            </w:r>
            <w:r>
              <w:rPr>
                <w:b/>
                <w:iCs/>
                <w:spacing w:val="-6"/>
                <w:sz w:val="24"/>
                <w:szCs w:val="24"/>
              </w:rPr>
            </w:r>
            <w:r>
              <w:rPr>
                <w:b/>
                <w:iCs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1661" w:type="dxa"/>
            <w:textDirection w:val="lrTb"/>
            <w:noWrap w:val="false"/>
          </w:tcPr>
          <w:p>
            <w:pPr>
              <w:ind w:firstLine="284"/>
              <w:jc w:val="center"/>
              <w:tabs>
                <w:tab w:val="left" w:pos="655" w:leader="none"/>
                <w:tab w:val="left" w:pos="862" w:leader="none"/>
                <w:tab w:val="left" w:pos="1080" w:leader="none"/>
              </w:tabs>
              <w:rPr>
                <w:b/>
                <w:iCs/>
                <w:spacing w:val="-6"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ОК 01</w:t>
            </w:r>
            <w:r>
              <w:rPr>
                <w:b/>
                <w:iCs/>
                <w:spacing w:val="-6"/>
                <w:sz w:val="24"/>
                <w:szCs w:val="24"/>
              </w:rPr>
            </w:r>
            <w:r>
              <w:rPr>
                <w:b/>
                <w:iCs/>
                <w:spacing w:val="-6"/>
                <w:sz w:val="24"/>
                <w:szCs w:val="24"/>
              </w:rPr>
            </w:r>
          </w:p>
        </w:tc>
        <w:tc>
          <w:tcPr>
            <w:tcW w:w="8794" w:type="dxa"/>
            <w:textDirection w:val="lrTb"/>
            <w:noWrap w:val="false"/>
          </w:tcPr>
          <w:p>
            <w:pPr>
              <w:ind w:firstLine="284"/>
              <w:jc w:val="both"/>
              <w:tabs>
                <w:tab w:val="left" w:pos="655" w:leader="none"/>
                <w:tab w:val="left" w:pos="862" w:leader="none"/>
                <w:tab w:val="left" w:pos="1080" w:leader="none"/>
              </w:tabs>
              <w:rPr>
                <w:b/>
                <w:iCs/>
                <w:spacing w:val="-6"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eastAsia="Calibri"/>
                <w:iCs/>
                <w:sz w:val="24"/>
                <w:szCs w:val="24"/>
              </w:rPr>
              <w:br/>
              <w:t xml:space="preserve">к различным контекстам</w:t>
            </w:r>
            <w:r>
              <w:rPr>
                <w:b/>
                <w:iCs/>
                <w:spacing w:val="-6"/>
                <w:sz w:val="24"/>
                <w:szCs w:val="24"/>
              </w:rPr>
            </w:r>
            <w:r>
              <w:rPr>
                <w:b/>
                <w:iCs/>
                <w:spacing w:val="-6"/>
                <w:sz w:val="24"/>
                <w:szCs w:val="24"/>
              </w:rPr>
            </w:r>
          </w:p>
        </w:tc>
      </w:tr>
      <w:tr>
        <w:tblPrEx/>
        <w:trPr/>
        <w:tc>
          <w:tcPr>
            <w:tcW w:w="1661" w:type="dxa"/>
            <w:textDirection w:val="lrTb"/>
            <w:noWrap w:val="false"/>
          </w:tcPr>
          <w:p>
            <w:pPr>
              <w:ind w:firstLine="284"/>
              <w:jc w:val="center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ОК 02</w:t>
            </w:r>
            <w:r>
              <w:rPr>
                <w:rFonts w:eastAsia="Calibri"/>
                <w:iCs/>
                <w:sz w:val="24"/>
                <w:szCs w:val="24"/>
              </w:rPr>
            </w:r>
            <w:r>
              <w:rPr>
                <w:rFonts w:eastAsia="Calibri"/>
                <w:iCs/>
                <w:sz w:val="24"/>
                <w:szCs w:val="24"/>
              </w:rPr>
            </w:r>
          </w:p>
        </w:tc>
        <w:tc>
          <w:tcPr>
            <w:tcW w:w="8794" w:type="dxa"/>
            <w:textDirection w:val="lrTb"/>
            <w:noWrap w:val="false"/>
          </w:tcPr>
          <w:p>
            <w:pPr>
              <w:ind w:firstLine="28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Использовать современные средства поиска, анализа 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  <w:tr>
        <w:tblPrEx/>
        <w:trPr/>
        <w:tc>
          <w:tcPr>
            <w:tcW w:w="1661" w:type="dxa"/>
            <w:textDirection w:val="lrTb"/>
            <w:noWrap w:val="false"/>
          </w:tcPr>
          <w:p>
            <w:pPr>
              <w:ind w:firstLine="284"/>
              <w:jc w:val="center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ОК 04</w:t>
            </w:r>
            <w:r>
              <w:rPr>
                <w:rFonts w:eastAsia="Calibri"/>
                <w:iCs/>
                <w:sz w:val="24"/>
                <w:szCs w:val="24"/>
              </w:rPr>
            </w:r>
            <w:r>
              <w:rPr>
                <w:rFonts w:eastAsia="Calibri"/>
                <w:iCs/>
                <w:sz w:val="24"/>
                <w:szCs w:val="24"/>
              </w:rPr>
            </w:r>
          </w:p>
        </w:tc>
        <w:tc>
          <w:tcPr>
            <w:tcW w:w="8794" w:type="dxa"/>
            <w:textDirection w:val="lrTb"/>
            <w:noWrap w:val="false"/>
          </w:tcPr>
          <w:p>
            <w:pPr>
              <w:ind w:firstLine="28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Эффективно взаимодействовать и работать в коллективе и команде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</w:tr>
    </w:tbl>
    <w:p>
      <w:pPr>
        <w:ind w:firstLine="284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284"/>
        <w:spacing w:before="120" w:after="12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Освоение дисциплины подготавливает студента к формированию  профессиональной  компетенций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0" w:type="auto"/>
        <w:tblInd w:w="-2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8753"/>
      </w:tblGrid>
      <w:tr>
        <w:tblPrEx/>
        <w:trPr/>
        <w:tc>
          <w:tcPr>
            <w:tcW w:w="1702" w:type="dxa"/>
            <w:textDirection w:val="lrTb"/>
            <w:noWrap w:val="false"/>
          </w:tcPr>
          <w:p>
            <w:pPr>
              <w:pStyle w:val="950"/>
              <w:ind w:firstLine="284"/>
              <w:jc w:val="both"/>
              <w:spacing w:before="0" w:after="0"/>
              <w:rPr>
                <w:rStyle w:val="971"/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971"/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Код</w:t>
            </w:r>
            <w:r>
              <w:rPr>
                <w:rStyle w:val="971"/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Style w:val="971"/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  <w:tc>
          <w:tcPr>
            <w:tcW w:w="8753" w:type="dxa"/>
            <w:textDirection w:val="lrTb"/>
            <w:noWrap w:val="false"/>
          </w:tcPr>
          <w:p>
            <w:pPr>
              <w:pStyle w:val="950"/>
              <w:ind w:firstLine="284"/>
              <w:jc w:val="both"/>
              <w:spacing w:before="0" w:after="0"/>
              <w:rPr>
                <w:rStyle w:val="971"/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971"/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Наименование видов деятельности и профессиональных компетенций</w:t>
            </w:r>
            <w:r>
              <w:rPr>
                <w:rStyle w:val="971"/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Style w:val="971"/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1702" w:type="dxa"/>
            <w:textDirection w:val="lrTb"/>
            <w:noWrap w:val="false"/>
          </w:tcPr>
          <w:p>
            <w:pPr>
              <w:pStyle w:val="950"/>
              <w:ind w:firstLine="284"/>
              <w:jc w:val="both"/>
              <w:spacing w:before="0" w:after="0"/>
              <w:rPr>
                <w:rStyle w:val="971"/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ПК 2.2</w:t>
            </w:r>
            <w:r>
              <w:rPr>
                <w:rStyle w:val="971"/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Style w:val="971"/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  <w:tc>
          <w:tcPr>
            <w:tcW w:w="8753" w:type="dxa"/>
            <w:textDirection w:val="lrTb"/>
            <w:noWrap w:val="false"/>
          </w:tcPr>
          <w:p>
            <w:pPr>
              <w:pStyle w:val="950"/>
              <w:ind w:firstLine="284"/>
              <w:jc w:val="both"/>
              <w:spacing w:before="0" w:after="0"/>
              <w:rPr>
                <w:rStyle w:val="971"/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Осуществлять контроль состояния электрооборудования и устройств электроснабжения с помощью измерительных приборов в процессе технического обслуживания.</w:t>
            </w:r>
            <w:r>
              <w:rPr>
                <w:rStyle w:val="971"/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Style w:val="971"/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</w:tr>
    </w:tbl>
    <w:p>
      <w:pPr>
        <w:spacing w:before="120" w:after="12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spacing w:before="120" w:after="12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center"/>
        <w:spacing w:before="120" w:after="12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2.СТРУКТУРА И СОДЕРЖАНИЕ  ДИСЦИПЛИНЫ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pStyle w:val="97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9279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4"/>
        <w:gridCol w:w="2498"/>
        <w:gridCol w:w="7"/>
      </w:tblGrid>
      <w:tr>
        <w:tblPrEx/>
        <w:trPr>
          <w:gridAfter w:val="1"/>
          <w:jc w:val="center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7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Количество часов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jc w:val="center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нагрузки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jc w:val="center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Учебных занятий (всего)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jc w:val="center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jc w:val="center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jc w:val="center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  <w:jc w:val="center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Консультации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50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18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1" w:bottom="1134" w:left="1276" w:header="708" w:footer="708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bCs/>
          <w:sz w:val="1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1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18"/>
          <w:lang w:eastAsia="ru-RU"/>
        </w:rPr>
      </w:r>
    </w:p>
    <w:p>
      <w:pPr>
        <w:jc w:val="left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2.2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Содержание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дисциплины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</w:p>
    <w:tbl>
      <w:tblPr>
        <w:tblW w:w="5182" w:type="pct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2518"/>
        <w:gridCol w:w="5"/>
        <w:gridCol w:w="683"/>
        <w:gridCol w:w="8529"/>
        <w:gridCol w:w="1413"/>
        <w:gridCol w:w="6"/>
        <w:gridCol w:w="2170"/>
      </w:tblGrid>
      <w:tr>
        <w:tblPrEx/>
        <w:trPr>
          <w:trHeight w:val="1204"/>
        </w:trPr>
        <w:tc>
          <w:tcPr>
            <w:gridSpan w:val="2"/>
            <w:shd w:val="clear" w:color="auto" w:fill="ffffff" w:themeFill="background1"/>
            <w:tcW w:w="252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921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fffff" w:themeFill="background1"/>
            <w:tcW w:w="217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/>
          </w:p>
        </w:tc>
      </w:tr>
      <w:tr>
        <w:tblPrEx/>
        <w:trPr/>
        <w:tc>
          <w:tcPr>
            <w:gridSpan w:val="2"/>
            <w:shd w:val="clear" w:color="auto" w:fill="ffffff" w:themeFill="background1"/>
            <w:tcW w:w="2523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9212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41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170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r>
          </w:p>
        </w:tc>
      </w:tr>
      <w:tr>
        <w:tblPrEx/>
        <w:trPr>
          <w:trHeight w:val="429"/>
        </w:trPr>
        <w:tc>
          <w:tcPr>
            <w:shd w:val="clear" w:color="auto" w:fill="ffffff" w:themeFill="background1"/>
            <w:tcW w:w="2518" w:type="dxa"/>
            <w:vMerge w:val="restart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W w:w="921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01, ОК 02, ОК 03,ОК 04 ОК 05,  ОК 06,ОК 07,. ПК 2.2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22"/>
        </w:trPr>
        <w:tc>
          <w:tcPr>
            <w:shd w:val="clear" w:color="auto" w:fill="ffffff" w:themeFill="background1"/>
            <w:tcW w:w="2518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W w:w="921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92"/>
        </w:trPr>
        <w:tc>
          <w:tcPr>
            <w:shd w:val="clear" w:color="auto" w:fill="ffffff" w:themeFill="background1"/>
            <w:tcW w:w="2518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688" w:type="dxa"/>
            <w:textDirection w:val="lrTb"/>
            <w:noWrap w:val="false"/>
          </w:tcPr>
          <w:p>
            <w:pPr>
              <w:pStyle w:val="963"/>
              <w:contextualSpacing/>
              <w:ind w:firstLine="3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при работе с ПК, знакомство с интерфейсом программы Компас. Выбор формата чертежа, заполнение основной надписи,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уквенные обозначения в схемах. Виды и типы электрических схем.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5"/>
        </w:trPr>
        <w:tc>
          <w:tcPr>
            <w:shd w:val="clear" w:color="auto" w:fill="ffffff" w:themeFill="background1"/>
            <w:tcW w:w="2518" w:type="dxa"/>
            <w:vMerge w:val="restart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Тема1: Условно-графические обозначения.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W w:w="921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restart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01, ОК 02, ОК 03,ОК 04 ОК 05,  ОК 06,ОК 07,. ПК 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0"/>
        </w:trPr>
        <w:tc>
          <w:tcPr>
            <w:shd w:val="clear" w:color="auto" w:fill="ffffff" w:themeFill="background1"/>
            <w:tcW w:w="2518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W w:w="921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2518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688" w:type="dxa"/>
            <w:textDirection w:val="lrTb"/>
            <w:noWrap w:val="false"/>
          </w:tcPr>
          <w:p>
            <w:pPr>
              <w:pStyle w:val="963"/>
              <w:contextualSpacing/>
              <w:ind w:firstLine="30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1</w:t>
            </w:r>
            <w:r>
              <w:rPr>
                <w:rFonts w:eastAsia="Calibri"/>
                <w:lang w:val="en-US"/>
              </w:rPr>
            </w:r>
            <w:r>
              <w:rPr>
                <w:rFonts w:eastAsia="Calibri"/>
                <w:lang w:val="en-US"/>
              </w:rPr>
            </w:r>
          </w:p>
        </w:tc>
        <w:tc>
          <w:tcPr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условно-графических обозначений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учетом разновидностей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цепителей и особенностей срабатывания.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Условно-Графические Обозначения (УГО ): в однолинейных, монтажных и схемах соединений.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2518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688" w:type="dxa"/>
            <w:textDirection w:val="lrTb"/>
            <w:noWrap w:val="false"/>
          </w:tcPr>
          <w:p>
            <w:pPr>
              <w:pStyle w:val="963"/>
              <w:contextualSpacing/>
              <w:ind w:firstLine="3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условно-графических обозначений ручных аппаратов управления.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Условно-Графические Обозначения (УГО ): в однолинейных, монтажных и схемах соединений.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2518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688" w:type="dxa"/>
            <w:textDirection w:val="lrTb"/>
            <w:noWrap w:val="false"/>
          </w:tcPr>
          <w:p>
            <w:pPr>
              <w:pStyle w:val="963"/>
              <w:contextualSpacing/>
              <w:ind w:firstLine="3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3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условно-графических обозначений пускорегулирующей аппаратуры.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Условно-Графические Обозначения (УГО ): в однолинейных, монтажных и схемах соединений.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2518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688" w:type="dxa"/>
            <w:textDirection w:val="lrTb"/>
            <w:noWrap w:val="false"/>
          </w:tcPr>
          <w:p>
            <w:pPr>
              <w:pStyle w:val="963"/>
              <w:contextualSpacing/>
              <w:ind w:firstLine="3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4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условно-графических обозначений аппаратуры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Условно-Графические Обозначения (УГО ): в однолинейных, монтажных и схемах соединений.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2518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688" w:type="dxa"/>
            <w:textDirection w:val="lrTb"/>
            <w:noWrap w:val="false"/>
          </w:tcPr>
          <w:p>
            <w:pPr>
              <w:pStyle w:val="963"/>
              <w:contextualSpacing/>
              <w:ind w:firstLine="3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5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условно-графических обозначений электрических машин постоянного 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Условно-Графические Обозначения (УГО ): в однолинейных, монтажных и схемах соединений.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2518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688" w:type="dxa"/>
            <w:textDirection w:val="lrTb"/>
            <w:noWrap w:val="false"/>
          </w:tcPr>
          <w:p>
            <w:pPr>
              <w:pStyle w:val="963"/>
              <w:contextualSpacing/>
              <w:ind w:firstLine="30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6</w:t>
            </w:r>
            <w:r>
              <w:rPr>
                <w:rFonts w:eastAsia="Calibri"/>
                <w:lang w:val="en-US"/>
              </w:rPr>
            </w:r>
            <w:r>
              <w:rPr>
                <w:rFonts w:eastAsia="Calibri"/>
                <w:lang w:val="en-US"/>
              </w:rPr>
            </w:r>
          </w:p>
        </w:tc>
        <w:tc>
          <w:tcPr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условно-графических обозначений электрических машин переменного 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Условно-Графические Обозначения (УГО ): в однолинейных, монтажных и схемах соединений.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2518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688" w:type="dxa"/>
            <w:textDirection w:val="lrTb"/>
            <w:noWrap w:val="false"/>
          </w:tcPr>
          <w:p>
            <w:pPr>
              <w:pStyle w:val="963"/>
              <w:contextualSpacing/>
              <w:ind w:firstLine="30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7</w:t>
            </w:r>
            <w:r>
              <w:rPr>
                <w:rFonts w:eastAsia="Calibri"/>
                <w:lang w:val="en-US"/>
              </w:rPr>
            </w:r>
            <w:r>
              <w:rPr>
                <w:rFonts w:eastAsia="Calibri"/>
                <w:lang w:val="en-US"/>
              </w:rPr>
            </w:r>
          </w:p>
        </w:tc>
        <w:tc>
          <w:tcPr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условно-графических обозначений трансформаторов.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Условно-Графические Обозначения (УГО ): в однолинейных, монтажных и схемах соединений.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2518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688" w:type="dxa"/>
            <w:textDirection w:val="lrTb"/>
            <w:noWrap w:val="false"/>
          </w:tcPr>
          <w:p>
            <w:pPr>
              <w:pStyle w:val="963"/>
              <w:contextualSpacing/>
              <w:ind w:firstLine="30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8</w:t>
            </w:r>
            <w:r>
              <w:rPr>
                <w:rFonts w:eastAsia="Calibri"/>
                <w:lang w:val="en-US"/>
              </w:rPr>
            </w:r>
            <w:r>
              <w:rPr>
                <w:rFonts w:eastAsia="Calibri"/>
                <w:lang w:val="en-US"/>
              </w:rPr>
            </w:r>
          </w:p>
        </w:tc>
        <w:tc>
          <w:tcPr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условно-графических обозначений электроизмерительных приборов.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Условно-Графические Обозначения (УГО ): в однолинейных, монтажных и схемах соединений.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auto" w:fill="ffffff" w:themeFill="background1"/>
            <w:tcW w:w="2518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688" w:type="dxa"/>
            <w:textDirection w:val="lrTb"/>
            <w:noWrap w:val="false"/>
          </w:tcPr>
          <w:p>
            <w:pPr>
              <w:pStyle w:val="963"/>
              <w:contextualSpacing/>
              <w:ind w:firstLine="30"/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9</w:t>
            </w:r>
            <w:r>
              <w:rPr>
                <w:rFonts w:eastAsia="Calibri"/>
                <w:lang w:val="en-US"/>
              </w:rPr>
            </w:r>
            <w:r>
              <w:rPr>
                <w:rFonts w:eastAsia="Calibri"/>
                <w:lang w:val="en-US"/>
              </w:rPr>
            </w:r>
          </w:p>
        </w:tc>
        <w:tc>
          <w:tcPr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условно-графических обозначений осветительных приборов и прочих элементов.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Условно-Графические Обозначения (УГО ): в однолинейных, монтажных и схемах соединений.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W w:w="2518" w:type="dxa"/>
            <w:vMerge w:val="restart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2: Электрические схемы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W w:w="921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01, ОК 02, ОК 03,ОК 04 ОК 05,  ОК 06,ОК 07,. ПК 2.2.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W w:w="2518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W w:w="921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 w:themeFill="background1"/>
            <w:tcW w:w="2518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688" w:type="dxa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Выполнение типовой принципиальной электрической схемы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выполнению спецификации и принципиальных схем.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3"/>
        </w:trPr>
        <w:tc>
          <w:tcPr>
            <w:shd w:val="clear" w:color="auto" w:fill="ffffff" w:themeFill="background1"/>
            <w:tcW w:w="2518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688" w:type="dxa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спецификации к принципиальной схеме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выполнению спецификации и принципиальных схем.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3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ffffff" w:themeFill="background1"/>
            <w:tcW w:w="2518" w:type="dxa"/>
            <w:vMerge w:val="restart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3: Выполнение индивидуального задания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W w:w="921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restart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01, ОК 02, ОК 03,ОК 04 ОК 05,  ОК 06,ОК 07,. ПК 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ffffff" w:themeFill="background1"/>
            <w:tcW w:w="2518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W w:w="9217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W w:w="2518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688" w:type="dxa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индивидуальной принципиальной электрической схемы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W w:w="2518" w:type="dxa"/>
            <w:vMerge w:val="continue"/>
            <w:textDirection w:val="lrTb"/>
            <w:noWrap w:val="false"/>
          </w:tcPr>
          <w:p>
            <w:pPr>
              <w:contextualSpacing/>
              <w:ind w:right="-10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688" w:type="dxa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852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спецификации к принципиальной схеме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413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2176" w:type="dxa"/>
            <w:vMerge w:val="continue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 w:themeFill="background1"/>
            <w:tcW w:w="11735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Условно-графические обозначения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Электрические схемы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 w:themeFill="background1"/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ind w:firstLine="30"/>
              <w:jc w:val="center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d9d9d9" w:themeFill="background1" w:themeFillShade="D9"/>
            <w:tcW w:w="2170" w:type="dxa"/>
            <w:vMerge w:val="restart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 w:themeFill="background1"/>
            <w:tcW w:w="11735" w:type="dxa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в форме экзамена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 w:themeFill="background1"/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ind w:firstLine="30"/>
              <w:jc w:val="center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d9d9d9" w:themeFill="background1" w:themeFillShade="D9"/>
            <w:tcW w:w="2170" w:type="dxa"/>
            <w:vMerge w:val="restart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shd w:val="clear" w:color="auto" w:fill="ffffff" w:themeFill="background1"/>
            <w:tcW w:w="1173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1419" w:type="dxa"/>
            <w:vAlign w:val="center"/>
            <w:textDirection w:val="lrTb"/>
            <w:noWrap w:val="false"/>
          </w:tcPr>
          <w:p>
            <w:pPr>
              <w:ind w:firstLine="30"/>
              <w:jc w:val="center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2170" w:type="dxa"/>
            <w:vMerge w:val="restart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shd w:val="clear" w:color="auto" w:fill="d9d9d9" w:themeFill="background1" w:themeFillShade="D9"/>
            <w:tcW w:w="15324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Тематика индивидуальных проектов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7"/>
            <w:shd w:val="clear" w:color="auto" w:fill="ffffff" w:themeFill="background1"/>
            <w:tcW w:w="15324" w:type="dxa"/>
            <w:vAlign w:val="center"/>
            <w:textDirection w:val="lrTb"/>
            <w:noWrap w:val="false"/>
          </w:tcPr>
          <w:p>
            <w:pPr>
              <w:contextualSpacing/>
              <w:ind w:firstLine="30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принципиальной электрической электрооборудования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системах автоматизированного проектирования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электротехнологических установок, общепромышленных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машин,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обрабатывающих установок.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  <w:r>
        <w:rPr>
          <w:rFonts w:ascii="Times New Roman" w:hAnsi="Times New Roman" w:eastAsia="Times New Roman" w:cs="Times New Roman"/>
          <w:sz w:val="18"/>
          <w:szCs w:val="18"/>
          <w:lang w:eastAsia="ru-RU"/>
        </w:rPr>
      </w:r>
    </w:p>
    <w:p>
      <w:pPr>
        <w:jc w:val="both"/>
        <w:spacing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характеристики уровня освоения учебного материала используются следующие обозначения: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1 – ознакомительный (узнавание ранее изученных объектов, свойств);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line="24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2 – репродуктивный (выполнение деятельности по образцу, инструкции или под руководством)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284"/>
        <w:keepNext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erReference w:type="default" r:id="rId10"/>
          <w:footerReference w:type="even" r:id="rId11"/>
          <w:footnotePr/>
          <w:endnotePr/>
          <w:type w:val="nextPage"/>
          <w:pgSz w:w="16838" w:h="11906" w:orient="landscape"/>
          <w:pgMar w:top="1418" w:right="1134" w:bottom="851" w:left="1134" w:header="709" w:footer="709" w:gutter="0"/>
          <w:cols w:num="1" w:sep="0" w:space="708" w:equalWidth="1"/>
          <w:docGrid w:linePitch="360"/>
        </w:sectPr>
        <w:outlineLvl w:val="0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3 – продуктивный (планирование и самостоятельное выполнение деятельности, решение проблемных задач.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1823"/>
        <w:jc w:val="left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Calibri" w:cs="Times New Roman"/>
          <w:b/>
          <w:caps/>
          <w:sz w:val="24"/>
          <w:szCs w:val="24"/>
        </w:rPr>
        <w:t xml:space="preserve">     3.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УСЛОВИЯ РЕАЛИЗАЦИИ  ДИСЦИПЛИНЫ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959"/>
        <w:numPr>
          <w:ilvl w:val="1"/>
          <w:numId w:val="19"/>
        </w:numPr>
        <w:jc w:val="both"/>
        <w:spacing w:before="100" w:beforeAutospacing="1" w:after="100" w:afterAutospacing="1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1"/>
      </w:pPr>
      <w:r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Кабинет №59 </w:t>
      </w:r>
      <w:r>
        <w:rPr>
          <w:rFonts w:ascii="Times New Roman" w:hAnsi="Times New Roman" w:eastAsia="Calibri" w:cs="Times New Roman"/>
          <w:bCs/>
          <w:sz w:val="24"/>
          <w:szCs w:val="24"/>
        </w:rPr>
      </w:r>
      <w:r>
        <w:rPr>
          <w:rFonts w:ascii="Times New Roman" w:hAnsi="Times New Roman" w:eastAsia="Calibri" w:cs="Times New Roman"/>
          <w:bCs/>
          <w:sz w:val="24"/>
          <w:szCs w:val="24"/>
        </w:rPr>
      </w:r>
    </w:p>
    <w:p>
      <w:pPr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Оснащение :</w:t>
      </w:r>
      <w:r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</w:r>
      <w:r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</w:r>
    </w:p>
    <w:tbl>
      <w:tblPr>
        <w:tblW w:w="95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6115"/>
        <w:gridCol w:w="6"/>
        <w:gridCol w:w="2906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Кол-во и Техническое описание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8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I Специализированная мебель и системы хранения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7"/>
        </w:trPr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Основное оборудование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 ученический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ученический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Доска классная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 преподавателя с ящиками для хранения или тумбой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Кресло преподавателя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Шкаф для хранения учебных пособий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II Технические 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Основное оборудование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Компьютер-Ноутбук HP Laptop  15s-eq1322ur 3B2X0EA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III Специализированное оборудование, мебель и системы хранения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Основное оборудование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Специализированные стенды для проверки модуля программирование.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Дополнительное оборудование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освещение( Г-1 300лк.)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Освещение рабочей поверхности( Г-1 400лк.)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Электроснабжение: 1 х U=220В.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IV Демонстрационные учебно-наглядные пособия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Основное оборудование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 учебно-наглядных пособий и плакатов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Техническая документация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Методическое обеспечение лабораторных и практических 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Дополнительное оборудование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Огнетушитель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Аптечка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Программное обеспечение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автоматизированного проектирования КОМПАС -3 D V20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keepNext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hi-IN" w:bidi="hi-IN"/>
        </w:rPr>
        <w:outlineLvl w:val="0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hi-IN" w:bidi="hi-IN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hi-IN" w:bidi="hi-IN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hi-IN" w:bidi="hi-IN"/>
        </w:rPr>
      </w:r>
    </w:p>
    <w:p>
      <w:pPr>
        <w:pStyle w:val="974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59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numPr>
          <w:ilvl w:val="0"/>
          <w:numId w:val="31"/>
        </w:numPr>
        <w:contextualSpacing/>
        <w:ind w:left="0"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Новиков, Ю. Н. Электрические цепи и сигналы. Базовые сведения, расчетные задания / Ю. Н. Новиков. — 2-е изд., стер. — Санкт-Петербург : Лань, 2023. — 356 с. — ISBN 978-5-507-46008-3. — Текст : электронный // Лань : электронно-библиотечная система. — URL: </w:t>
      </w:r>
      <w:hyperlink r:id="rId12" w:tooltip="https://e.lanbook.com/book/293003" w:history="1">
        <w:r>
          <w:rPr>
            <w:rStyle w:val="965"/>
            <w:rFonts w:ascii="Times New Roman" w:hAnsi="Times New Roman"/>
            <w:sz w:val="24"/>
            <w:szCs w:val="24"/>
          </w:rPr>
          <w:t xml:space="preserve">https://e.lanbook.com/book/293003</w:t>
        </w:r>
      </w:hyperlink>
      <w:r>
        <w:rPr>
          <w:rFonts w:ascii="Times New Roman" w:hAnsi="Times New Roman"/>
          <w:sz w:val="24"/>
          <w:szCs w:val="24"/>
        </w:rPr>
        <w:t xml:space="preserve">  (дата обращения: 26.07.2023). — Режим доступа: для авториз. пользователей.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31"/>
        </w:numPr>
        <w:contextualSpacing/>
        <w:ind w:left="0"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Фролов, Ю. М. Электрический привод : учебное пособие для спо / Ю. М. Фролов. — Санкт-Петербург : Лань, 2021. — 236 с. — ISBN 978-5-8114-7403-5. — Текст : электронный // Лань : электронно-библиотечная система. — URL: </w:t>
      </w:r>
      <w:hyperlink r:id="rId13" w:tooltip="https://e.lanbook.com/book/176851" w:history="1">
        <w:r>
          <w:rPr>
            <w:rStyle w:val="965"/>
            <w:rFonts w:ascii="Times New Roman" w:hAnsi="Times New Roman"/>
            <w:sz w:val="24"/>
            <w:szCs w:val="24"/>
          </w:rPr>
          <w:t xml:space="preserve">https://e.lanbook.com/book/176851</w:t>
        </w:r>
      </w:hyperlink>
      <w:r>
        <w:rPr>
          <w:rFonts w:ascii="Times New Roman" w:hAnsi="Times New Roman"/>
          <w:sz w:val="24"/>
          <w:szCs w:val="24"/>
        </w:rPr>
        <w:t xml:space="preserve">  (дата обращения: 26.07.2023). — Режим доступа: для авториз. пользователей.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3.2.2 Дополнительн</w:t>
      </w:r>
      <w:r>
        <w:rPr>
          <w:rFonts w:ascii="Times New Roman" w:hAnsi="Times New Roman" w:eastAsia="Calibri" w:cs="Times New Roman"/>
          <w:b/>
          <w:sz w:val="24"/>
          <w:szCs w:val="24"/>
        </w:rPr>
        <w:t xml:space="preserve">ые источники:</w:t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2.414−75*. ЕСКД. Правила выполнения чертежей жгутов кабелей и проводов.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2.726−68. ЕСКД. Обозначения условные графические в схемах. Токосъемники.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2.416−68*. ЕСКД. Условные изображения сердечников магнитопроводов.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21.112−87. СПДС. Подъемно-транспортное оборудование. Условные изображения.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21.204−93. СПДС. Условные графические обозначения и изображения элементов генеральных планов и сооружений транспорта.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21.205−93. СПДС. Условные обозначения элементов санитарнотехнических систем.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21.206−93. СПДС. Условные обозначения трубопроводов.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21.403−80. СПДС. Обозначения условные графические в схемах. Оборудование энергетическое. ГОСТ 21.404−85. СПДС. Автоматизация технологических процессов.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 ГОСТ 21.501−93. СПДС. Правила выполнения архитектурностроительных рабочих чертежей.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 ГОСТ 21.508−93. СПДС. Правила выполнения рабочей документации генеральных планов предприятий, сооружений и жилищно-гражданских объектов.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21.110−95. СПДС. Правила выполнения спецификации оборудования, изделий, материалов.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21.601−79*. СПДС. Водопровод и канализация. Рабочие чертежи.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 ГОСТ 21.602−2003. СПДС. Правила выполнения рабочей документации отопления, вентиляции и кондиционирования.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 ГОСТ 21.605−82*. СПДС. Сети тепловые (теплотехническая часть). Рабочие чертежи.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 ГОСТ 21.607−82. СПДС. Электрическое освещение территории промышленных предприятий. Рабочие чертежи.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21.608−84. СПДС. Внутреннее электрическое освещение. Рабочие чертежи.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 ГОСТ 21.611−85. СПДС. Централизованное управление энергоснабжением. Условные графические и буквенные обозначения вида и содержания информации.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21.613−88. СПДС. Силовое электрооборудование. Рабочие чертежи.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21.614−88. СПДС. Изображения условные графические электрооборудования и проводок на планах.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2.004−88 ЕСКД. Общие требования к выполнению конструкторских и технологических документов на печатающих и графических устройствах вывода ЭВМ.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2.104−2006. ЕСКД. Основные надписи.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2.105−95. ЕСКД. Общие требования к текстовым документам.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2.109−73*. ЕСКД. Основные требования к чертежам. ГОСТ 2.301−68*.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ЕСКД. Форматы. ГОСТ 2.303−68*.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ЕСКД. Линии. ГОСТ 2.304−81*. ЕСКД. Шрифты чертежные.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2.316−2008. ЕСКД. Правила нанесения на чертежах надписей, технических требований и таблиц на графических документах. Общие положения.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2.415−68*. ЕСКД. Правила выполнения чертежей изделий с электрическими обмотками.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2.701−2008. ЕСКД. Схемы. Виды и типы. Общие требования к выполнению.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 ГОСТ 2.702−2011. ЕСКД. Правила выполнения электрических схем. ГОСТ 2.705−70.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ЕСКД. Правила выполнения электрических схем обмоток и изделий с обмотками.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2.709−89. ЕСКД. Обозначения условные проводов и контактных соединений электрических элементов, оборудования и участков цепей в электрических схемах.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 ГОСТ 2.710−81*. ЕСКД. Обозначения буквенно-цифровые в электрических схемах.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 ГОСТ 2.721−74*. ЕСКД. Обозначения условные графические в схемах. Обозначения общего применения. ГОСТ 2.722−68*. ЕСКД. Обозначения условные графические в схемах. Машины электрические.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2.723−68*. ЕСКД. Обозначения условные графические в схемах. Катушки индуктивности, дроссели, трансформаторы, автотрансформаторы и магнитные усилители.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2.727−68*. ЕСКД. Обозначения условные графические в схемах. Разрядники, предохранители.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2.728−74*. ЕСКД. Обозначения условные графические в схемах. Резисторы, конденсаторы. 4 5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2.729−68*. ЕСКД. </w:t>
      </w:r>
      <w:r>
        <w:rPr>
          <w:rFonts w:ascii="Times New Roman" w:hAnsi="Times New Roman" w:cs="Times New Roman"/>
          <w:sz w:val="24"/>
          <w:szCs w:val="24"/>
        </w:rPr>
        <w:t xml:space="preserve">Обозначения условные графические в схемах. Приборы электроизмерительные. ГОСТ 2.730−73*. ЕСКД. Обозначения условные графические в схемах. Приборы полупроводниковые. ГОСТ 2.731−81*. ЕСКД. Обозначения условные графические в схемах. Приборы электровакуумные.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2.732−68. ЕСКД. Обозначения условные графические в схемах. Источники света.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2.745−68*. ЕСКД. Обозначения условные графические в схемах. Электронагреватели, устройства и установки электротермические.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 ГОСТ 2.747−68*. ЕСКД. Обозначения условные графические в схемах. Размеры условных графических обозначений.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 ГОСТ 2.755−87. ЕСКД. Обозначения условные графические в электрических схемах. Устройства коммутационные и контактные соединения.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 ГОСТ 2.756−76*. ЕСКД. Обозначения условные графические в схемах. Воспринимающая часть электромеханических устройств.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ГОСТ 2.767−89*. ЕСКД. Обозначения условные графические в электрических схемах. Реле защиты.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 ГОСТ 2.768−90. ЕСКД. Обозначения условные графические в схемах. Источники электрохимические, электротермические и тепловые.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 ГОСТ 21.1101−2009. СПДС. Основные требования к проектной и рабочей документации.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keepLines/>
        <w:keepNext/>
        <w:spacing w:before="48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keepNext/>
        <w:spacing w:before="120" w:after="120" w:line="240" w:lineRule="auto"/>
        <w:tabs>
          <w:tab w:val="num" w:pos="432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975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pPr w:horzAnchor="margin" w:tblpXSpec="left" w:vertAnchor="text" w:tblpY="198" w:leftFromText="180" w:topFromText="0" w:rightFromText="180" w:bottomFromText="0"/>
        <w:tblW w:w="9811" w:type="dxa"/>
        <w:tblLayout w:type="fixed"/>
        <w:tblLook w:val="0000" w:firstRow="0" w:lastRow="0" w:firstColumn="0" w:lastColumn="0" w:noHBand="0" w:noVBand="0"/>
      </w:tblPr>
      <w:tblGrid>
        <w:gridCol w:w="3104"/>
        <w:gridCol w:w="3841"/>
        <w:gridCol w:w="2866"/>
      </w:tblGrid>
      <w:tr>
        <w:tblPrEx/>
        <w:trPr>
          <w:trHeight w:val="73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4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504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ind w:firstLine="14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Умеет: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14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электрические схемы 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системах автоматизированного проектирования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firstLine="14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условно графические обозначения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системах автоматизированного проектирования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14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читать электрические схемы;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оформлять технологическую и конструкторскую документацию в соответствии с действующей нормативно-технической документацией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3841" w:type="dxa"/>
            <w:vMerge w:val="restart"/>
            <w:textDirection w:val="lrTb"/>
            <w:noWrap w:val="false"/>
          </w:tcPr>
          <w:p>
            <w:pPr>
              <w:ind w:firstLine="14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выполняет электрические схемы 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системах автоматизированного проектирования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firstLine="14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выполняет условно графические обозначения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системах автоматизированного проектирования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14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читает электрические схемы;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оформляет технологическую и конструкторскую документацию в соответствии с действующей нормативно-технической документацией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</w:p>
          <w:p>
            <w:r/>
            <w:r/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0" w:type="auto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Знает: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методы и приемы черчения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системах автоматизированного проектирования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правила выполнения и чтения конструкторской и технологической документации;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оформления схем, геометрические построения и правила выполнения условно графических обозначений;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41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показывает знания методов и приемов черчения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системах автоматизированного проектирования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правила выполнения и чтения конструкторской и технологической документации;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демонстрирует знания правил оформления схем, геометрического построения и правил выполнения условно графических обозначений;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показывает знания требований стандартов Единой системы конструкторской документации (далее - ЕСКД) и Единой системы технологической документации (далее - ЕСТД) к оформлению и составлению чертежей и схем.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6"/>
        <w:jc w:val="right"/>
        <w:spacing w:before="0" w:beforeAutospacing="0" w:after="0" w:afterAutospacing="0"/>
      </w:pPr>
      <w:r/>
      <w:r/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OpenSymbol">
    <w:panose1 w:val="05010000000000000000"/>
  </w:font>
  <w:font w:name="Courier New">
    <w:panose1 w:val="02070409020205020404"/>
  </w:font>
  <w:font w:name="Segoe UI">
    <w:panose1 w:val="020B0502040504020204"/>
  </w:font>
  <w:font w:name="Symbol">
    <w:panose1 w:val="05010000000000000000"/>
  </w:font>
  <w:font w:name="Times New Roman Полужирный"/>
  <w:font w:name="Tahoma">
    <w:panose1 w:val="020B050603060203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7</w:t>
    </w:r>
    <w:r>
      <w:fldChar w:fldCharType="end"/>
    </w:r>
    <w:r/>
  </w:p>
  <w:p>
    <w:pPr>
      <w:pStyle w:val="954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4"/>
      <w:rPr>
        <w:rStyle w:val="956"/>
      </w:rPr>
      <w:framePr w:wrap="around" w:vAnchor="text" w:hAnchor="margin" w:xAlign="right" w:y="1"/>
    </w:pPr>
    <w:r>
      <w:rPr>
        <w:rStyle w:val="956"/>
      </w:rPr>
      <w:fldChar w:fldCharType="begin"/>
    </w:r>
    <w:r>
      <w:rPr>
        <w:rStyle w:val="956"/>
      </w:rPr>
      <w:instrText xml:space="preserve">PAGE  </w:instrText>
    </w:r>
    <w:r>
      <w:rPr>
        <w:rStyle w:val="956"/>
      </w:rPr>
      <w:fldChar w:fldCharType="separate"/>
    </w:r>
    <w:r>
      <w:rPr>
        <w:rStyle w:val="956"/>
      </w:rPr>
      <w:t xml:space="preserve">16</w:t>
    </w:r>
    <w:r>
      <w:rPr>
        <w:rStyle w:val="956"/>
      </w:rPr>
      <w:fldChar w:fldCharType="end"/>
    </w:r>
    <w:r>
      <w:rPr>
        <w:rStyle w:val="956"/>
      </w:rPr>
    </w:r>
    <w:r>
      <w:rPr>
        <w:rStyle w:val="956"/>
      </w:rPr>
    </w:r>
  </w:p>
  <w:p>
    <w:pPr>
      <w:pStyle w:val="954"/>
      <w:ind w:right="360"/>
      <w:jc w:val="right"/>
    </w:pPr>
    <w:r/>
    <w:r/>
  </w:p>
  <w:p>
    <w:pPr>
      <w:pStyle w:val="954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4"/>
      <w:rPr>
        <w:rStyle w:val="956"/>
      </w:rPr>
      <w:framePr w:wrap="around" w:vAnchor="text" w:hAnchor="margin" w:xAlign="right" w:y="1"/>
    </w:pPr>
    <w:r>
      <w:rPr>
        <w:rStyle w:val="956"/>
      </w:rPr>
      <w:fldChar w:fldCharType="begin"/>
    </w:r>
    <w:r>
      <w:rPr>
        <w:rStyle w:val="956"/>
      </w:rPr>
      <w:instrText xml:space="preserve">PAGE  </w:instrText>
    </w:r>
    <w:r>
      <w:rPr>
        <w:rStyle w:val="956"/>
      </w:rPr>
      <w:fldChar w:fldCharType="end"/>
    </w:r>
    <w:r>
      <w:rPr>
        <w:rStyle w:val="956"/>
      </w:rPr>
    </w:r>
    <w:r>
      <w:rPr>
        <w:rStyle w:val="956"/>
      </w:rPr>
    </w:r>
  </w:p>
  <w:p>
    <w:pPr>
      <w:pStyle w:val="954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432" w:leader="none"/>
        </w:tabs>
      </w:pPr>
      <w:rPr>
        <w:rFonts w:cs="Times New Roman"/>
      </w:r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576" w:leader="none"/>
        </w:tabs>
      </w:pPr>
      <w:rPr>
        <w:rFonts w:cs="Times New Roman"/>
      </w:r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720" w:leader="none"/>
        </w:tabs>
      </w:pPr>
      <w:rPr>
        <w:rFonts w:cs="Times New Roman"/>
      </w:r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864" w:leader="none"/>
        </w:tabs>
      </w:pPr>
      <w:rPr>
        <w:rFonts w:cs="Times New Roman"/>
      </w:r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1008" w:leader="none"/>
        </w:tabs>
      </w:pPr>
      <w:rPr>
        <w:rFonts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1152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1296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144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1584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3" w:hanging="360"/>
        <w:tabs>
          <w:tab w:val="num" w:pos="708" w:leader="none"/>
        </w:tabs>
      </w:pPr>
      <w:rPr>
        <w:rFonts w:ascii="Symbol" w:hAnsi="Symbol" w:cs="Symbol"/>
        <w:spacing w:val="-6"/>
        <w:sz w:val="26"/>
        <w:szCs w:val="24"/>
        <w:lang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cs="OpenSymbol"/>
      </w:rPr>
    </w:lvl>
    <w:lvl w:ilvl="1">
      <w:start w:val="1"/>
      <w:numFmt w:val="bullet"/>
      <w:isLgl w:val="false"/>
      <w:suff w:val="tab"/>
      <w:lvlText w:val="◦"/>
      <w:lvlJc w:val="left"/>
      <w:pPr>
        <w:ind w:left="1080" w:hanging="360"/>
        <w:tabs>
          <w:tab w:val="num" w:pos="1080" w:leader="none"/>
        </w:tabs>
      </w:pPr>
      <w:rPr>
        <w:rFonts w:ascii="OpenSymbol" w:hAnsi="OpenSymbol" w:cs="OpenSymbol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360"/>
        <w:tabs>
          <w:tab w:val="num" w:pos="1440" w:leader="none"/>
        </w:tabs>
      </w:pPr>
      <w:rPr>
        <w:rFonts w:ascii="OpenSymbol" w:hAnsi="OpenSymbol" w:cs="OpenSymbol"/>
      </w:rPr>
    </w:lvl>
    <w:lvl w:ilvl="3">
      <w:start w:val="1"/>
      <w:numFmt w:val="bullet"/>
      <w:isLgl w:val="false"/>
      <w:suff w:val="tab"/>
      <w:lvlText w:val=""/>
      <w:lvlJc w:val="left"/>
      <w:pPr>
        <w:ind w:left="1800" w:hanging="360"/>
        <w:tabs>
          <w:tab w:val="num" w:pos="1800" w:leader="none"/>
        </w:tabs>
      </w:pPr>
      <w:rPr>
        <w:rFonts w:ascii="Symbol" w:hAnsi="Symbol" w:cs="OpenSymbol"/>
      </w:rPr>
    </w:lvl>
    <w:lvl w:ilvl="4">
      <w:start w:val="1"/>
      <w:numFmt w:val="bullet"/>
      <w:isLgl w:val="false"/>
      <w:suff w:val="tab"/>
      <w:lvlText w:val="◦"/>
      <w:lvlJc w:val="left"/>
      <w:pPr>
        <w:ind w:left="2160" w:hanging="360"/>
        <w:tabs>
          <w:tab w:val="num" w:pos="2160" w:leader="none"/>
        </w:tabs>
      </w:pPr>
      <w:rPr>
        <w:rFonts w:ascii="OpenSymbol" w:hAnsi="OpenSymbol" w:cs="OpenSymbol"/>
      </w:rPr>
    </w:lvl>
    <w:lvl w:ilvl="5">
      <w:start w:val="1"/>
      <w:numFmt w:val="bullet"/>
      <w:isLgl w:val="false"/>
      <w:suff w:val="tab"/>
      <w:lvlText w:val="▪"/>
      <w:lvlJc w:val="left"/>
      <w:pPr>
        <w:ind w:left="2520" w:hanging="360"/>
        <w:tabs>
          <w:tab w:val="num" w:pos="2520" w:leader="none"/>
        </w:tabs>
      </w:pPr>
      <w:rPr>
        <w:rFonts w:ascii="OpenSymbol" w:hAnsi="OpenSymbol" w:cs="OpenSymbol"/>
      </w:rPr>
    </w:lvl>
    <w:lvl w:ilvl="6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cs="OpenSymbol"/>
      </w:rPr>
    </w:lvl>
    <w:lvl w:ilvl="7">
      <w:start w:val="1"/>
      <w:numFmt w:val="bullet"/>
      <w:isLgl w:val="false"/>
      <w:suff w:val="tab"/>
      <w:lvlText w:val="◦"/>
      <w:lvlJc w:val="left"/>
      <w:pPr>
        <w:ind w:left="3240" w:hanging="360"/>
        <w:tabs>
          <w:tab w:val="num" w:pos="3240" w:leader="none"/>
        </w:tabs>
      </w:pPr>
      <w:rPr>
        <w:rFonts w:ascii="OpenSymbol" w:hAnsi="OpenSymbol" w:cs="OpenSymbol"/>
      </w:rPr>
    </w:lvl>
    <w:lvl w:ilvl="8">
      <w:start w:val="1"/>
      <w:numFmt w:val="bullet"/>
      <w:isLgl w:val="false"/>
      <w:suff w:val="tab"/>
      <w:lvlText w:val="▪"/>
      <w:lvlJc w:val="left"/>
      <w:pPr>
        <w:ind w:left="3600" w:hanging="360"/>
        <w:tabs>
          <w:tab w:val="num" w:pos="3600" w:leader="none"/>
        </w:tabs>
      </w:pPr>
      <w:rPr>
        <w:rFonts w:ascii="OpenSymbol" w:hAnsi="OpenSymbol" w:cs="OpenSymbol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−−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−−"/>
      <w:lvlJc w:val="left"/>
      <w:pPr>
        <w:ind w:left="502" w:hanging="360"/>
        <w:tabs>
          <w:tab w:val="num" w:pos="502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−−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и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  <w:tabs>
          <w:tab w:val="num" w:pos="720" w:leader="none"/>
        </w:tabs>
      </w:pPr>
      <w:rPr>
        <w:rFonts w:hint="default" w:ascii="Arial" w:hAnsi="Arial"/>
        <w:color w:val="auto"/>
      </w:rPr>
    </w:lvl>
    <w:lvl w:ilvl="1">
      <w:start w:val="1"/>
      <w:numFmt w:val="bullet"/>
      <w:isLgl w:val="false"/>
      <w:suff w:val="tab"/>
      <w:lvlText w:val="•"/>
      <w:lvlJc w:val="left"/>
      <w:pPr>
        <w:ind w:left="1440" w:hanging="360"/>
        <w:tabs>
          <w:tab w:val="num" w:pos="1440" w:leader="none"/>
        </w:tabs>
      </w:pPr>
      <w:rPr>
        <w:rFonts w:hint="default" w:ascii="Arial" w:hAnsi="Arial"/>
      </w:rPr>
    </w:lvl>
    <w:lvl w:ilvl="2">
      <w:start w:val="1"/>
      <w:numFmt w:val="bullet"/>
      <w:isLgl w:val="false"/>
      <w:suff w:val="tab"/>
      <w:lvlText w:val="•"/>
      <w:lvlJc w:val="left"/>
      <w:pPr>
        <w:ind w:left="2160" w:hanging="360"/>
        <w:tabs>
          <w:tab w:val="num" w:pos="2160" w:leader="none"/>
        </w:tabs>
      </w:pPr>
      <w:rPr>
        <w:rFonts w:hint="default" w:ascii="Arial" w:hAnsi="Arial"/>
      </w:rPr>
    </w:lvl>
    <w:lvl w:ilvl="3">
      <w:start w:val="1"/>
      <w:numFmt w:val="bullet"/>
      <w:isLgl w:val="false"/>
      <w:suff w:val="tab"/>
      <w:lvlText w:val="•"/>
      <w:lvlJc w:val="left"/>
      <w:pPr>
        <w:ind w:left="2880" w:hanging="360"/>
        <w:tabs>
          <w:tab w:val="num" w:pos="2880" w:leader="none"/>
        </w:tabs>
      </w:pPr>
      <w:rPr>
        <w:rFonts w:hint="default" w:ascii="Arial" w:hAnsi="Arial"/>
      </w:rPr>
    </w:lvl>
    <w:lvl w:ilvl="4">
      <w:start w:val="1"/>
      <w:numFmt w:val="bullet"/>
      <w:isLgl w:val="false"/>
      <w:suff w:val="tab"/>
      <w:lvlText w:val="•"/>
      <w:lvlJc w:val="left"/>
      <w:pPr>
        <w:ind w:left="3600" w:hanging="360"/>
        <w:tabs>
          <w:tab w:val="num" w:pos="3600" w:leader="none"/>
        </w:tabs>
      </w:pPr>
      <w:rPr>
        <w:rFonts w:hint="default" w:ascii="Arial" w:hAnsi="Arial"/>
      </w:rPr>
    </w:lvl>
    <w:lvl w:ilvl="5">
      <w:start w:val="1"/>
      <w:numFmt w:val="bullet"/>
      <w:isLgl w:val="false"/>
      <w:suff w:val="tab"/>
      <w:lvlText w:val="•"/>
      <w:lvlJc w:val="left"/>
      <w:pPr>
        <w:ind w:left="4320" w:hanging="360"/>
        <w:tabs>
          <w:tab w:val="num" w:pos="4320" w:leader="none"/>
        </w:tabs>
      </w:pPr>
      <w:rPr>
        <w:rFonts w:hint="default" w:ascii="Arial" w:hAnsi="Arial"/>
      </w:rPr>
    </w:lvl>
    <w:lvl w:ilvl="6">
      <w:start w:val="1"/>
      <w:numFmt w:val="bullet"/>
      <w:isLgl w:val="false"/>
      <w:suff w:val="tab"/>
      <w:lvlText w:val="•"/>
      <w:lvlJc w:val="left"/>
      <w:pPr>
        <w:ind w:left="5040" w:hanging="360"/>
        <w:tabs>
          <w:tab w:val="num" w:pos="5040" w:leader="none"/>
        </w:tabs>
      </w:pPr>
      <w:rPr>
        <w:rFonts w:hint="default" w:ascii="Arial" w:hAnsi="Arial"/>
      </w:rPr>
    </w:lvl>
    <w:lvl w:ilvl="7">
      <w:start w:val="1"/>
      <w:numFmt w:val="bullet"/>
      <w:isLgl w:val="false"/>
      <w:suff w:val="tab"/>
      <w:lvlText w:val="•"/>
      <w:lvlJc w:val="left"/>
      <w:pPr>
        <w:ind w:left="5760" w:hanging="360"/>
        <w:tabs>
          <w:tab w:val="num" w:pos="5760" w:leader="none"/>
        </w:tabs>
      </w:pPr>
      <w:rPr>
        <w:rFonts w:hint="default" w:ascii="Arial" w:hAnsi="Arial"/>
      </w:rPr>
    </w:lvl>
    <w:lvl w:ilvl="8">
      <w:start w:val="1"/>
      <w:numFmt w:val="bullet"/>
      <w:isLgl w:val="false"/>
      <w:suff w:val="tab"/>
      <w:lvlText w:val="•"/>
      <w:lvlJc w:val="left"/>
      <w:pPr>
        <w:ind w:left="6480" w:hanging="360"/>
        <w:tabs>
          <w:tab w:val="num" w:pos="6480" w:leader="none"/>
        </w:tabs>
      </w:pPr>
      <w:rPr>
        <w:rFonts w:hint="default" w:ascii="Arial" w:hAnsi="Arial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-112" w:hanging="216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68" w:hanging="284"/>
        <w:tabs>
          <w:tab w:val="num" w:pos="56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  <w:tabs>
          <w:tab w:val="num" w:pos="252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  <w:tabs>
          <w:tab w:val="num" w:pos="324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num" w:pos="396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num" w:pos="468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num" w:pos="540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num" w:pos="612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num" w:pos="684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num" w:pos="7560" w:leader="none"/>
        </w:tabs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31" w:hanging="405"/>
      </w:pPr>
      <w:rPr>
        <w:rFonts w:hint="default"/>
        <w:b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146" w:hanging="720"/>
      </w:pPr>
      <w:rPr>
        <w:rFonts w:hint="default"/>
        <w:b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  <w:b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  <w:rPr>
        <w:rFonts w:hint="default"/>
        <w:b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506" w:hanging="1080"/>
      </w:pPr>
      <w:rPr>
        <w:rFonts w:hint="default"/>
        <w:b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66" w:hanging="1440"/>
      </w:pPr>
      <w:rPr>
        <w:rFonts w:hint="default"/>
        <w:b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226" w:hanging="1800"/>
      </w:pPr>
      <w:rPr>
        <w:rFonts w:hint="default"/>
        <w:b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6" w:hanging="1800"/>
      </w:pPr>
      <w:rPr>
        <w:rFonts w:hint="default"/>
        <w:b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6" w:hanging="2160"/>
      </w:pPr>
      <w:rPr>
        <w:rFonts w:hint="default"/>
        <w:b/>
        <w:sz w:val="24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28"/>
  </w:num>
  <w:num w:numId="2">
    <w:abstractNumId w:val="20"/>
  </w:num>
  <w:num w:numId="3">
    <w:abstractNumId w:val="10"/>
  </w:num>
  <w:num w:numId="4">
    <w:abstractNumId w:val="18"/>
  </w:num>
  <w:num w:numId="5">
    <w:abstractNumId w:val="25"/>
  </w:num>
  <w:num w:numId="6">
    <w:abstractNumId w:val="17"/>
  </w:num>
  <w:num w:numId="7">
    <w:abstractNumId w:val="23"/>
  </w:num>
  <w:num w:numId="8">
    <w:abstractNumId w:val="14"/>
  </w:num>
  <w:num w:numId="9">
    <w:abstractNumId w:val="21"/>
  </w:num>
  <w:num w:numId="10">
    <w:abstractNumId w:val="26"/>
  </w:num>
  <w:num w:numId="11">
    <w:abstractNumId w:val="9"/>
  </w:num>
  <w:num w:numId="12">
    <w:abstractNumId w:val="24"/>
  </w:num>
  <w:num w:numId="13">
    <w:abstractNumId w:val="27"/>
  </w:num>
  <w:num w:numId="14">
    <w:abstractNumId w:val="2"/>
  </w:num>
  <w:num w:numId="15">
    <w:abstractNumId w:val="15"/>
  </w:num>
  <w:num w:numId="16">
    <w:abstractNumId w:val="6"/>
  </w:num>
  <w:num w:numId="17">
    <w:abstractNumId w:val="5"/>
  </w:num>
  <w:num w:numId="18">
    <w:abstractNumId w:val="7"/>
  </w:num>
  <w:num w:numId="19">
    <w:abstractNumId w:val="8"/>
  </w:num>
  <w:num w:numId="20">
    <w:abstractNumId w:val="12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</w:num>
  <w:num w:numId="23">
    <w:abstractNumId w:val="19"/>
  </w:num>
  <w:num w:numId="24">
    <w:abstractNumId w:val="22"/>
  </w:num>
  <w:num w:numId="25">
    <w:abstractNumId w:val="2"/>
    <w:lvlOverride w:ilvl="0">
      <w:startOverride w:val="1"/>
    </w:lvlOverride>
  </w:num>
  <w:num w:numId="26">
    <w:abstractNumId w:val="16"/>
  </w:num>
  <w:num w:numId="27">
    <w:abstractNumId w:val="1"/>
  </w:num>
  <w:num w:numId="28">
    <w:abstractNumId w:val="11"/>
  </w:num>
  <w:num w:numId="29">
    <w:abstractNumId w:val="3"/>
  </w:num>
  <w:num w:numId="30">
    <w:abstractNumId w:val="13"/>
  </w:num>
  <w:num w:numId="31">
    <w:abstractNumId w:val="29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7">
    <w:name w:val="Heading 1 Char"/>
    <w:basedOn w:val="951"/>
    <w:link w:val="949"/>
    <w:uiPriority w:val="9"/>
    <w:rPr>
      <w:rFonts w:ascii="Arial" w:hAnsi="Arial" w:eastAsia="Arial" w:cs="Arial"/>
      <w:sz w:val="40"/>
      <w:szCs w:val="40"/>
    </w:rPr>
  </w:style>
  <w:style w:type="character" w:styleId="778">
    <w:name w:val="Heading 2 Char"/>
    <w:basedOn w:val="951"/>
    <w:link w:val="950"/>
    <w:uiPriority w:val="9"/>
    <w:rPr>
      <w:rFonts w:ascii="Arial" w:hAnsi="Arial" w:eastAsia="Arial" w:cs="Arial"/>
      <w:sz w:val="34"/>
    </w:rPr>
  </w:style>
  <w:style w:type="paragraph" w:styleId="779">
    <w:name w:val="Heading 3"/>
    <w:basedOn w:val="948"/>
    <w:next w:val="948"/>
    <w:link w:val="78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80">
    <w:name w:val="Heading 3 Char"/>
    <w:basedOn w:val="951"/>
    <w:link w:val="779"/>
    <w:uiPriority w:val="9"/>
    <w:rPr>
      <w:rFonts w:ascii="Arial" w:hAnsi="Arial" w:eastAsia="Arial" w:cs="Arial"/>
      <w:sz w:val="30"/>
      <w:szCs w:val="30"/>
    </w:rPr>
  </w:style>
  <w:style w:type="paragraph" w:styleId="781">
    <w:name w:val="Heading 4"/>
    <w:basedOn w:val="948"/>
    <w:next w:val="948"/>
    <w:link w:val="7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2">
    <w:name w:val="Heading 4 Char"/>
    <w:basedOn w:val="951"/>
    <w:link w:val="781"/>
    <w:uiPriority w:val="9"/>
    <w:rPr>
      <w:rFonts w:ascii="Arial" w:hAnsi="Arial" w:eastAsia="Arial" w:cs="Arial"/>
      <w:b/>
      <w:bCs/>
      <w:sz w:val="26"/>
      <w:szCs w:val="26"/>
    </w:rPr>
  </w:style>
  <w:style w:type="paragraph" w:styleId="783">
    <w:name w:val="Heading 5"/>
    <w:basedOn w:val="948"/>
    <w:next w:val="948"/>
    <w:link w:val="7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84">
    <w:name w:val="Heading 5 Char"/>
    <w:basedOn w:val="951"/>
    <w:link w:val="783"/>
    <w:uiPriority w:val="9"/>
    <w:rPr>
      <w:rFonts w:ascii="Arial" w:hAnsi="Arial" w:eastAsia="Arial" w:cs="Arial"/>
      <w:b/>
      <w:bCs/>
      <w:sz w:val="24"/>
      <w:szCs w:val="24"/>
    </w:rPr>
  </w:style>
  <w:style w:type="paragraph" w:styleId="785">
    <w:name w:val="Heading 6"/>
    <w:basedOn w:val="948"/>
    <w:next w:val="948"/>
    <w:link w:val="7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6">
    <w:name w:val="Heading 6 Char"/>
    <w:basedOn w:val="951"/>
    <w:link w:val="785"/>
    <w:uiPriority w:val="9"/>
    <w:rPr>
      <w:rFonts w:ascii="Arial" w:hAnsi="Arial" w:eastAsia="Arial" w:cs="Arial"/>
      <w:b/>
      <w:bCs/>
      <w:sz w:val="22"/>
      <w:szCs w:val="22"/>
    </w:rPr>
  </w:style>
  <w:style w:type="paragraph" w:styleId="787">
    <w:name w:val="Heading 7"/>
    <w:basedOn w:val="948"/>
    <w:next w:val="948"/>
    <w:link w:val="7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8">
    <w:name w:val="Heading 7 Char"/>
    <w:basedOn w:val="951"/>
    <w:link w:val="7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9">
    <w:name w:val="Heading 8"/>
    <w:basedOn w:val="948"/>
    <w:next w:val="948"/>
    <w:link w:val="7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0">
    <w:name w:val="Heading 8 Char"/>
    <w:basedOn w:val="951"/>
    <w:link w:val="789"/>
    <w:uiPriority w:val="9"/>
    <w:rPr>
      <w:rFonts w:ascii="Arial" w:hAnsi="Arial" w:eastAsia="Arial" w:cs="Arial"/>
      <w:i/>
      <w:iCs/>
      <w:sz w:val="22"/>
      <w:szCs w:val="22"/>
    </w:rPr>
  </w:style>
  <w:style w:type="paragraph" w:styleId="791">
    <w:name w:val="Heading 9"/>
    <w:basedOn w:val="948"/>
    <w:next w:val="948"/>
    <w:link w:val="7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2">
    <w:name w:val="Heading 9 Char"/>
    <w:basedOn w:val="951"/>
    <w:link w:val="791"/>
    <w:uiPriority w:val="9"/>
    <w:rPr>
      <w:rFonts w:ascii="Arial" w:hAnsi="Arial" w:eastAsia="Arial" w:cs="Arial"/>
      <w:i/>
      <w:iCs/>
      <w:sz w:val="21"/>
      <w:szCs w:val="21"/>
    </w:rPr>
  </w:style>
  <w:style w:type="paragraph" w:styleId="793">
    <w:name w:val="No Spacing"/>
    <w:uiPriority w:val="1"/>
    <w:qFormat/>
    <w:pPr>
      <w:spacing w:before="0" w:after="0" w:line="240" w:lineRule="auto"/>
    </w:pPr>
  </w:style>
  <w:style w:type="paragraph" w:styleId="794">
    <w:name w:val="Title"/>
    <w:basedOn w:val="948"/>
    <w:next w:val="948"/>
    <w:link w:val="7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5">
    <w:name w:val="Title Char"/>
    <w:basedOn w:val="951"/>
    <w:link w:val="794"/>
    <w:uiPriority w:val="10"/>
    <w:rPr>
      <w:sz w:val="48"/>
      <w:szCs w:val="48"/>
    </w:rPr>
  </w:style>
  <w:style w:type="paragraph" w:styleId="796">
    <w:name w:val="Subtitle"/>
    <w:basedOn w:val="948"/>
    <w:next w:val="948"/>
    <w:link w:val="797"/>
    <w:uiPriority w:val="11"/>
    <w:qFormat/>
    <w:pPr>
      <w:spacing w:before="200" w:after="200"/>
    </w:pPr>
    <w:rPr>
      <w:sz w:val="24"/>
      <w:szCs w:val="24"/>
    </w:rPr>
  </w:style>
  <w:style w:type="character" w:styleId="797">
    <w:name w:val="Subtitle Char"/>
    <w:basedOn w:val="951"/>
    <w:link w:val="796"/>
    <w:uiPriority w:val="11"/>
    <w:rPr>
      <w:sz w:val="24"/>
      <w:szCs w:val="24"/>
    </w:rPr>
  </w:style>
  <w:style w:type="paragraph" w:styleId="798">
    <w:name w:val="Quote"/>
    <w:basedOn w:val="948"/>
    <w:next w:val="948"/>
    <w:link w:val="799"/>
    <w:uiPriority w:val="29"/>
    <w:qFormat/>
    <w:pPr>
      <w:ind w:left="720" w:right="720"/>
    </w:pPr>
    <w:rPr>
      <w:i/>
    </w:rPr>
  </w:style>
  <w:style w:type="character" w:styleId="799">
    <w:name w:val="Quote Char"/>
    <w:link w:val="798"/>
    <w:uiPriority w:val="29"/>
    <w:rPr>
      <w:i/>
    </w:rPr>
  </w:style>
  <w:style w:type="paragraph" w:styleId="800">
    <w:name w:val="Intense Quote"/>
    <w:basedOn w:val="948"/>
    <w:next w:val="948"/>
    <w:link w:val="8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1">
    <w:name w:val="Intense Quote Char"/>
    <w:link w:val="800"/>
    <w:uiPriority w:val="30"/>
    <w:rPr>
      <w:i/>
    </w:rPr>
  </w:style>
  <w:style w:type="character" w:styleId="802">
    <w:name w:val="Header Char"/>
    <w:basedOn w:val="951"/>
    <w:link w:val="960"/>
    <w:uiPriority w:val="99"/>
  </w:style>
  <w:style w:type="character" w:styleId="803">
    <w:name w:val="Footer Char"/>
    <w:basedOn w:val="951"/>
    <w:link w:val="954"/>
    <w:uiPriority w:val="99"/>
  </w:style>
  <w:style w:type="paragraph" w:styleId="804">
    <w:name w:val="Caption"/>
    <w:basedOn w:val="948"/>
    <w:next w:val="9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5">
    <w:name w:val="Caption Char"/>
    <w:basedOn w:val="804"/>
    <w:link w:val="954"/>
    <w:uiPriority w:val="99"/>
  </w:style>
  <w:style w:type="table" w:styleId="806">
    <w:name w:val="Table Grid Light"/>
    <w:basedOn w:val="9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7">
    <w:name w:val="Plain Table 1"/>
    <w:basedOn w:val="9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8">
    <w:name w:val="Plain Table 2"/>
    <w:basedOn w:val="9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9">
    <w:name w:val="Plain Table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0">
    <w:name w:val="Plain Table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Plain Table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2">
    <w:name w:val="Grid Table 1 Light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1 Light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1 Light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2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2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2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4"/>
    <w:basedOn w:val="9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4">
    <w:name w:val="Grid Table 4 - Accent 1"/>
    <w:basedOn w:val="9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5">
    <w:name w:val="Grid Table 4 - Accent 2"/>
    <w:basedOn w:val="9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6">
    <w:name w:val="Grid Table 4 - Accent 3"/>
    <w:basedOn w:val="9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7">
    <w:name w:val="Grid Table 4 - Accent 4"/>
    <w:basedOn w:val="9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8">
    <w:name w:val="Grid Table 4 - Accent 5"/>
    <w:basedOn w:val="9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9">
    <w:name w:val="Grid Table 4 - Accent 6"/>
    <w:basedOn w:val="9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0">
    <w:name w:val="Grid Table 5 Dark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1">
    <w:name w:val="Grid Table 5 Dark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2">
    <w:name w:val="Grid Table 5 Dark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3">
    <w:name w:val="Grid Table 5 Dark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4">
    <w:name w:val="Grid Table 5 Dark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5">
    <w:name w:val="Grid Table 5 Dark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6">
    <w:name w:val="Grid Table 5 Dark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47">
    <w:name w:val="Grid Table 6 Colorful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8">
    <w:name w:val="Grid Table 6 Colorful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9">
    <w:name w:val="Grid Table 6 Colorful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0">
    <w:name w:val="Grid Table 6 Colorful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1">
    <w:name w:val="Grid Table 6 Colorful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2">
    <w:name w:val="Grid Table 6 Colorful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3">
    <w:name w:val="Grid Table 6 Colorful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4">
    <w:name w:val="Grid Table 7 Colorful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7 Colorful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7 Colorful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7 Colorful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9">
    <w:name w:val="List Table 2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0">
    <w:name w:val="List Table 2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1">
    <w:name w:val="List Table 2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2">
    <w:name w:val="List Table 2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3">
    <w:name w:val="List Table 2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4">
    <w:name w:val="List Table 2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5">
    <w:name w:val="List Table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3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3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5 Dark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5 Dark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2">
    <w:name w:val="List Table 5 Dark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3">
    <w:name w:val="List Table 5 Dark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5 Dark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5 Dark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6 Colorful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7">
    <w:name w:val="List Table 6 Colorful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8">
    <w:name w:val="List Table 6 Colorful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9">
    <w:name w:val="List Table 6 Colorful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0">
    <w:name w:val="List Table 6 Colorful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1">
    <w:name w:val="List Table 6 Colorful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2">
    <w:name w:val="List Table 6 Colorful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3">
    <w:name w:val="List Table 7 Colorful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4">
    <w:name w:val="List Table 7 Colorful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5">
    <w:name w:val="List Table 7 Colorful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06">
    <w:name w:val="List Table 7 Colorful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07">
    <w:name w:val="List Table 7 Colorful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08">
    <w:name w:val="List Table 7 Colorful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09">
    <w:name w:val="List Table 7 Colorful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0">
    <w:name w:val="Lined - Accent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1">
    <w:name w:val="Lined - Accent 1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2">
    <w:name w:val="Lined - Accent 2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3">
    <w:name w:val="Lined - Accent 3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4">
    <w:name w:val="Lined - Accent 4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5">
    <w:name w:val="Lined - Accent 5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6">
    <w:name w:val="Lined - Accent 6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7">
    <w:name w:val="Bordered &amp; Lined - Accent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8">
    <w:name w:val="Bordered &amp; Lined - Accent 1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9">
    <w:name w:val="Bordered &amp; Lined - Accent 2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0">
    <w:name w:val="Bordered &amp; Lined - Accent 3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1">
    <w:name w:val="Bordered &amp; Lined - Accent 4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2">
    <w:name w:val="Bordered &amp; Lined - Accent 5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3">
    <w:name w:val="Bordered &amp; Lined - Accent 6"/>
    <w:basedOn w:val="9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4">
    <w:name w:val="Bordered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5">
    <w:name w:val="Bordered - Accent 1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6">
    <w:name w:val="Bordered - Accent 2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7">
    <w:name w:val="Bordered - Accent 3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8">
    <w:name w:val="Bordered - Accent 4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9">
    <w:name w:val="Bordered - Accent 5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0">
    <w:name w:val="Bordered - Accent 6"/>
    <w:basedOn w:val="9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31">
    <w:name w:val="footnote text"/>
    <w:basedOn w:val="948"/>
    <w:link w:val="932"/>
    <w:uiPriority w:val="99"/>
    <w:semiHidden/>
    <w:unhideWhenUsed/>
    <w:pPr>
      <w:spacing w:after="40" w:line="240" w:lineRule="auto"/>
    </w:pPr>
    <w:rPr>
      <w:sz w:val="18"/>
    </w:rPr>
  </w:style>
  <w:style w:type="character" w:styleId="932">
    <w:name w:val="Footnote Text Char"/>
    <w:link w:val="931"/>
    <w:uiPriority w:val="99"/>
    <w:rPr>
      <w:sz w:val="18"/>
    </w:rPr>
  </w:style>
  <w:style w:type="character" w:styleId="933">
    <w:name w:val="footnote reference"/>
    <w:basedOn w:val="951"/>
    <w:uiPriority w:val="99"/>
    <w:unhideWhenUsed/>
    <w:rPr>
      <w:vertAlign w:val="superscript"/>
    </w:rPr>
  </w:style>
  <w:style w:type="paragraph" w:styleId="934">
    <w:name w:val="endnote text"/>
    <w:basedOn w:val="948"/>
    <w:link w:val="935"/>
    <w:uiPriority w:val="99"/>
    <w:semiHidden/>
    <w:unhideWhenUsed/>
    <w:pPr>
      <w:spacing w:after="0" w:line="240" w:lineRule="auto"/>
    </w:pPr>
    <w:rPr>
      <w:sz w:val="20"/>
    </w:rPr>
  </w:style>
  <w:style w:type="character" w:styleId="935">
    <w:name w:val="Endnote Text Char"/>
    <w:link w:val="934"/>
    <w:uiPriority w:val="99"/>
    <w:rPr>
      <w:sz w:val="20"/>
    </w:rPr>
  </w:style>
  <w:style w:type="character" w:styleId="936">
    <w:name w:val="endnote reference"/>
    <w:basedOn w:val="951"/>
    <w:uiPriority w:val="99"/>
    <w:semiHidden/>
    <w:unhideWhenUsed/>
    <w:rPr>
      <w:vertAlign w:val="superscript"/>
    </w:rPr>
  </w:style>
  <w:style w:type="paragraph" w:styleId="937">
    <w:name w:val="toc 1"/>
    <w:basedOn w:val="948"/>
    <w:next w:val="948"/>
    <w:uiPriority w:val="39"/>
    <w:unhideWhenUsed/>
    <w:pPr>
      <w:ind w:left="0" w:right="0" w:firstLine="0"/>
      <w:spacing w:after="57"/>
    </w:pPr>
  </w:style>
  <w:style w:type="paragraph" w:styleId="938">
    <w:name w:val="toc 2"/>
    <w:basedOn w:val="948"/>
    <w:next w:val="948"/>
    <w:uiPriority w:val="39"/>
    <w:unhideWhenUsed/>
    <w:pPr>
      <w:ind w:left="283" w:right="0" w:firstLine="0"/>
      <w:spacing w:after="57"/>
    </w:pPr>
  </w:style>
  <w:style w:type="paragraph" w:styleId="939">
    <w:name w:val="toc 3"/>
    <w:basedOn w:val="948"/>
    <w:next w:val="948"/>
    <w:uiPriority w:val="39"/>
    <w:unhideWhenUsed/>
    <w:pPr>
      <w:ind w:left="567" w:right="0" w:firstLine="0"/>
      <w:spacing w:after="57"/>
    </w:pPr>
  </w:style>
  <w:style w:type="paragraph" w:styleId="940">
    <w:name w:val="toc 4"/>
    <w:basedOn w:val="948"/>
    <w:next w:val="948"/>
    <w:uiPriority w:val="39"/>
    <w:unhideWhenUsed/>
    <w:pPr>
      <w:ind w:left="850" w:right="0" w:firstLine="0"/>
      <w:spacing w:after="57"/>
    </w:pPr>
  </w:style>
  <w:style w:type="paragraph" w:styleId="941">
    <w:name w:val="toc 5"/>
    <w:basedOn w:val="948"/>
    <w:next w:val="948"/>
    <w:uiPriority w:val="39"/>
    <w:unhideWhenUsed/>
    <w:pPr>
      <w:ind w:left="1134" w:right="0" w:firstLine="0"/>
      <w:spacing w:after="57"/>
    </w:pPr>
  </w:style>
  <w:style w:type="paragraph" w:styleId="942">
    <w:name w:val="toc 6"/>
    <w:basedOn w:val="948"/>
    <w:next w:val="948"/>
    <w:uiPriority w:val="39"/>
    <w:unhideWhenUsed/>
    <w:pPr>
      <w:ind w:left="1417" w:right="0" w:firstLine="0"/>
      <w:spacing w:after="57"/>
    </w:pPr>
  </w:style>
  <w:style w:type="paragraph" w:styleId="943">
    <w:name w:val="toc 7"/>
    <w:basedOn w:val="948"/>
    <w:next w:val="948"/>
    <w:uiPriority w:val="39"/>
    <w:unhideWhenUsed/>
    <w:pPr>
      <w:ind w:left="1701" w:right="0" w:firstLine="0"/>
      <w:spacing w:after="57"/>
    </w:pPr>
  </w:style>
  <w:style w:type="paragraph" w:styleId="944">
    <w:name w:val="toc 8"/>
    <w:basedOn w:val="948"/>
    <w:next w:val="948"/>
    <w:uiPriority w:val="39"/>
    <w:unhideWhenUsed/>
    <w:pPr>
      <w:ind w:left="1984" w:right="0" w:firstLine="0"/>
      <w:spacing w:after="57"/>
    </w:pPr>
  </w:style>
  <w:style w:type="paragraph" w:styleId="945">
    <w:name w:val="toc 9"/>
    <w:basedOn w:val="948"/>
    <w:next w:val="948"/>
    <w:uiPriority w:val="39"/>
    <w:unhideWhenUsed/>
    <w:pPr>
      <w:ind w:left="2268" w:right="0" w:firstLine="0"/>
      <w:spacing w:after="57"/>
    </w:pPr>
  </w:style>
  <w:style w:type="paragraph" w:styleId="946">
    <w:name w:val="TOC Heading"/>
    <w:uiPriority w:val="39"/>
    <w:unhideWhenUsed/>
  </w:style>
  <w:style w:type="paragraph" w:styleId="947">
    <w:name w:val="table of figures"/>
    <w:basedOn w:val="948"/>
    <w:next w:val="948"/>
    <w:uiPriority w:val="99"/>
    <w:unhideWhenUsed/>
    <w:pPr>
      <w:spacing w:after="0" w:afterAutospacing="0"/>
    </w:pPr>
  </w:style>
  <w:style w:type="paragraph" w:styleId="948" w:default="1">
    <w:name w:val="Normal"/>
    <w:qFormat/>
  </w:style>
  <w:style w:type="paragraph" w:styleId="949">
    <w:name w:val="Heading 1"/>
    <w:basedOn w:val="948"/>
    <w:next w:val="948"/>
    <w:link w:val="972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50">
    <w:name w:val="Heading 2"/>
    <w:basedOn w:val="948"/>
    <w:next w:val="948"/>
    <w:link w:val="970"/>
    <w:uiPriority w:val="99"/>
    <w:qFormat/>
    <w:pPr>
      <w:keepNext/>
      <w:spacing w:before="240" w:after="60" w:line="240" w:lineRule="auto"/>
      <w:outlineLvl w:val="1"/>
    </w:pPr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951" w:default="1">
    <w:name w:val="Default Paragraph Font"/>
    <w:uiPriority w:val="1"/>
    <w:semiHidden/>
    <w:unhideWhenUsed/>
  </w:style>
  <w:style w:type="table" w:styleId="9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53" w:default="1">
    <w:name w:val="No List"/>
    <w:uiPriority w:val="99"/>
    <w:semiHidden/>
    <w:unhideWhenUsed/>
  </w:style>
  <w:style w:type="paragraph" w:styleId="954">
    <w:name w:val="Footer"/>
    <w:basedOn w:val="948"/>
    <w:link w:val="955"/>
    <w:uiPriority w:val="99"/>
    <w:pPr>
      <w:tabs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ru-RU"/>
    </w:rPr>
  </w:style>
  <w:style w:type="character" w:styleId="955" w:customStyle="1">
    <w:name w:val="Нижний колонтитул Знак"/>
    <w:basedOn w:val="951"/>
    <w:link w:val="954"/>
    <w:uiPriority w:val="99"/>
    <w:rPr>
      <w:rFonts w:ascii="Calibri" w:hAnsi="Calibri" w:eastAsia="Times New Roman" w:cs="Times New Roman"/>
      <w:lang w:eastAsia="ru-RU"/>
    </w:rPr>
  </w:style>
  <w:style w:type="character" w:styleId="956">
    <w:name w:val="page number"/>
    <w:basedOn w:val="951"/>
  </w:style>
  <w:style w:type="paragraph" w:styleId="957">
    <w:name w:val="Balloon Text"/>
    <w:basedOn w:val="948"/>
    <w:link w:val="95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58" w:customStyle="1">
    <w:name w:val="Текст выноски Знак"/>
    <w:basedOn w:val="951"/>
    <w:link w:val="957"/>
    <w:uiPriority w:val="99"/>
    <w:semiHidden/>
    <w:rPr>
      <w:rFonts w:ascii="Tahoma" w:hAnsi="Tahoma" w:cs="Tahoma"/>
      <w:sz w:val="16"/>
      <w:szCs w:val="16"/>
    </w:rPr>
  </w:style>
  <w:style w:type="paragraph" w:styleId="959">
    <w:name w:val="List Paragraph"/>
    <w:basedOn w:val="948"/>
    <w:uiPriority w:val="34"/>
    <w:qFormat/>
    <w:pPr>
      <w:contextualSpacing/>
      <w:ind w:left="720"/>
    </w:pPr>
  </w:style>
  <w:style w:type="paragraph" w:styleId="960">
    <w:name w:val="Header"/>
    <w:basedOn w:val="948"/>
    <w:link w:val="96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61" w:customStyle="1">
    <w:name w:val="Верхний колонтитул Знак"/>
    <w:basedOn w:val="951"/>
    <w:link w:val="960"/>
    <w:uiPriority w:val="99"/>
  </w:style>
  <w:style w:type="paragraph" w:styleId="962">
    <w:name w:val="Normal (Web)"/>
    <w:basedOn w:val="948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3">
    <w:name w:val="Body Text"/>
    <w:basedOn w:val="948"/>
    <w:link w:val="964"/>
    <w:uiPriority w:val="99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4" w:customStyle="1">
    <w:name w:val="Основной текст Знак"/>
    <w:basedOn w:val="951"/>
    <w:link w:val="96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5">
    <w:name w:val="Hyperlink"/>
    <w:basedOn w:val="951"/>
    <w:uiPriority w:val="99"/>
    <w:unhideWhenUsed/>
    <w:rPr>
      <w:color w:val="0000ff" w:themeColor="hyperlink"/>
      <w:u w:val="single"/>
    </w:rPr>
  </w:style>
  <w:style w:type="paragraph" w:styleId="966" w:customStyle="1">
    <w:name w:val="formattext"/>
    <w:basedOn w:val="94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7" w:customStyle="1">
    <w:name w:val="headertext"/>
    <w:basedOn w:val="94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8" w:customStyle="1">
    <w:name w:val="topleveltext"/>
    <w:basedOn w:val="94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9" w:customStyle="1">
    <w:name w:val="Основной текст 31"/>
    <w:basedOn w:val="948"/>
    <w:pPr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zh-CN"/>
    </w:rPr>
  </w:style>
  <w:style w:type="character" w:styleId="970" w:customStyle="1">
    <w:name w:val="Заголовок 2 Знак"/>
    <w:basedOn w:val="951"/>
    <w:link w:val="950"/>
    <w:uiPriority w:val="99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971">
    <w:name w:val="Emphasis"/>
    <w:basedOn w:val="951"/>
    <w:uiPriority w:val="20"/>
    <w:qFormat/>
    <w:rPr>
      <w:rFonts w:cs="Times New Roman"/>
      <w:i/>
    </w:rPr>
  </w:style>
  <w:style w:type="character" w:styleId="972" w:customStyle="1">
    <w:name w:val="Заголовок 1 Знак"/>
    <w:basedOn w:val="951"/>
    <w:link w:val="949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table" w:styleId="973">
    <w:name w:val="Table Grid"/>
    <w:basedOn w:val="952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74" w:customStyle="1">
    <w:name w:val="Раздел 1.1"/>
    <w:basedOn w:val="965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75" w:customStyle="1">
    <w:name w:val="Раздел 1"/>
    <w:basedOn w:val="780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hyperlink" Target="https://e.lanbook.com/book/293003" TargetMode="External"/><Relationship Id="rId13" Type="http://schemas.openxmlformats.org/officeDocument/2006/relationships/hyperlink" Target="https://e.lanbook.com/book/17685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10</cp:revision>
  <dcterms:created xsi:type="dcterms:W3CDTF">2023-12-13T06:03:00Z</dcterms:created>
  <dcterms:modified xsi:type="dcterms:W3CDTF">2025-06-10T04:31:25Z</dcterms:modified>
</cp:coreProperties>
</file>